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EA" w:rsidRPr="00E60BEA" w:rsidRDefault="00E60BEA" w:rsidP="00E60BEA">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bookmarkStart w:id="0" w:name="_GoBack"/>
      <w:r w:rsidRPr="00E60BEA">
        <w:rPr>
          <w:rFonts w:ascii="Arial Black" w:eastAsia="Times New Roman" w:hAnsi="Arial Black" w:cs="Times New Roman"/>
          <w:b/>
          <w:bCs/>
          <w:caps/>
          <w:color w:val="58595B"/>
          <w:sz w:val="21"/>
          <w:szCs w:val="21"/>
          <w:lang w:eastAsia="pt-BR"/>
        </w:rPr>
        <w:t>CONTROLE DA POLUIÇÃO SONORA NO DISTRITO FEDERAL ( LEI Nº 4.092 DE JANEIRO DE 2008)</w:t>
      </w:r>
    </w:p>
    <w:bookmarkEnd w:id="0"/>
    <w:p w:rsidR="00E60BEA" w:rsidRPr="00E60BEA" w:rsidRDefault="00E60BEA" w:rsidP="00E60BEA">
      <w:pPr>
        <w:spacing w:after="0" w:line="240" w:lineRule="auto"/>
        <w:rPr>
          <w:rFonts w:ascii="Times New Roman" w:eastAsia="Times New Roman" w:hAnsi="Times New Roman" w:cs="Times New Roman"/>
          <w:sz w:val="24"/>
          <w:szCs w:val="24"/>
          <w:lang w:eastAsia="pt-BR"/>
        </w:rPr>
      </w:pPr>
      <w:r w:rsidRPr="00E60BEA">
        <w:rPr>
          <w:rFonts w:ascii="Arial" w:eastAsia="Times New Roman" w:hAnsi="Arial" w:cs="Arial"/>
          <w:color w:val="58595B"/>
          <w:sz w:val="18"/>
          <w:szCs w:val="18"/>
          <w:lang w:eastAsia="pt-BR"/>
        </w:rPr>
        <w:br/>
      </w:r>
      <w:r w:rsidRPr="00E60BEA">
        <w:rPr>
          <w:rFonts w:ascii="Arial" w:eastAsia="Times New Roman" w:hAnsi="Arial" w:cs="Arial"/>
          <w:i/>
          <w:iCs/>
          <w:color w:val="58595B"/>
          <w:sz w:val="18"/>
          <w:szCs w:val="18"/>
          <w:bdr w:val="none" w:sz="0" w:space="0" w:color="auto" w:frame="1"/>
          <w:shd w:val="clear" w:color="auto" w:fill="FFFFFF"/>
          <w:lang w:eastAsia="pt-BR"/>
        </w:rPr>
        <w:t>24/06/2010</w:t>
      </w:r>
      <w:r w:rsidRPr="00E60BEA">
        <w:rPr>
          <w:rFonts w:ascii="Arial" w:eastAsia="Times New Roman" w:hAnsi="Arial" w:cs="Arial"/>
          <w:color w:val="58595B"/>
          <w:sz w:val="18"/>
          <w:szCs w:val="18"/>
          <w:lang w:eastAsia="pt-BR"/>
        </w:rPr>
        <w:br/>
      </w:r>
    </w:p>
    <w:p w:rsidR="00E60BEA" w:rsidRPr="00E60BEA" w:rsidRDefault="00E60BEA" w:rsidP="00E60BEA">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E60BEA">
        <w:rPr>
          <w:rFonts w:ascii="inherit" w:eastAsia="Times New Roman" w:hAnsi="inherit" w:cs="Tahoma"/>
          <w:b/>
          <w:bCs/>
          <w:i/>
          <w:iCs/>
          <w:color w:val="58595B"/>
          <w:sz w:val="17"/>
          <w:szCs w:val="17"/>
          <w:bdr w:val="none" w:sz="0" w:space="0" w:color="auto" w:frame="1"/>
          <w:lang w:eastAsia="pt-BR"/>
        </w:rPr>
        <w:t>LEI Nº 4.092, DE 30 DE JANEIRO DE 2008</w:t>
      </w:r>
      <w:r w:rsidRPr="00E60BEA">
        <w:rPr>
          <w:rFonts w:ascii="inherit" w:eastAsia="Times New Roman" w:hAnsi="inherit" w:cs="Tahoma"/>
          <w:i/>
          <w:iCs/>
          <w:color w:val="58595B"/>
          <w:sz w:val="17"/>
          <w:szCs w:val="17"/>
          <w:bdr w:val="none" w:sz="0" w:space="0" w:color="auto" w:frame="1"/>
          <w:lang w:eastAsia="pt-BR"/>
        </w:rPr>
        <w:br/>
        <w:t>(Autoria do Projeto: Deputado Wilson Lima)</w:t>
      </w:r>
    </w:p>
    <w:p w:rsidR="00E60BEA" w:rsidRPr="00E60BEA" w:rsidRDefault="00E60BEA" w:rsidP="00E60BEA">
      <w:pPr>
        <w:shd w:val="clear" w:color="auto" w:fill="FFFFFF"/>
        <w:spacing w:after="225"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E60BEA">
        <w:rPr>
          <w:rFonts w:ascii="inherit" w:eastAsia="Times New Roman" w:hAnsi="inherit" w:cs="Tahoma"/>
          <w:b/>
          <w:bCs/>
          <w:i/>
          <w:iCs/>
          <w:color w:val="58595B"/>
          <w:sz w:val="17"/>
          <w:szCs w:val="17"/>
          <w:bdr w:val="none" w:sz="0" w:space="0" w:color="auto" w:frame="1"/>
          <w:lang w:eastAsia="pt-BR"/>
        </w:rPr>
        <w:br/>
        <w:t>Dispõe sobre o controle da poluição sonora e os limites máximos de intensidade da emissão de sons e ruídos resultantes de atividades urbanas e rurais no Distrito Federal.</w:t>
      </w:r>
    </w:p>
    <w:p w:rsidR="00E60BEA" w:rsidRPr="00E60BEA" w:rsidRDefault="00E60BEA" w:rsidP="00E60BEA">
      <w:pPr>
        <w:shd w:val="clear" w:color="auto" w:fill="FFFFFF"/>
        <w:spacing w:after="225"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E60BEA">
        <w:rPr>
          <w:rFonts w:ascii="inherit" w:eastAsia="Times New Roman" w:hAnsi="inherit" w:cs="Tahoma"/>
          <w:i/>
          <w:iCs/>
          <w:color w:val="58595B"/>
          <w:sz w:val="17"/>
          <w:szCs w:val="17"/>
          <w:bdr w:val="none" w:sz="0" w:space="0" w:color="auto" w:frame="1"/>
          <w:lang w:eastAsia="pt-BR"/>
        </w:rPr>
        <w:br/>
        <w:t>O VICE-GOVERNADOR DO DISTRITO FEDERAL, NO EXERCÍCIO DO CARGO DE GOVERNADOR DO DISTRITO FEDERAL,</w:t>
      </w:r>
      <w:r w:rsidRPr="00E60BEA">
        <w:rPr>
          <w:rFonts w:ascii="inherit" w:eastAsia="Times New Roman" w:hAnsi="inherit" w:cs="Tahoma"/>
          <w:i/>
          <w:iCs/>
          <w:color w:val="58595B"/>
          <w:sz w:val="17"/>
          <w:szCs w:val="17"/>
          <w:bdr w:val="none" w:sz="0" w:space="0" w:color="auto" w:frame="1"/>
          <w:lang w:eastAsia="pt-BR"/>
        </w:rPr>
        <w:br/>
        <w:t>Faço saber que a Câmara Legislativa do Distrito Federal decreta e eu sanciono a seguinte Lei: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CAPÍTULO 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DAS DISPOSIÇÕES GERAIS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1º</w:t>
      </w:r>
      <w:r w:rsidRPr="00E60BEA">
        <w:rPr>
          <w:rFonts w:ascii="inherit" w:eastAsia="Times New Roman" w:hAnsi="inherit" w:cs="Tahoma"/>
          <w:i/>
          <w:iCs/>
          <w:color w:val="58595B"/>
          <w:sz w:val="17"/>
          <w:szCs w:val="17"/>
          <w:bdr w:val="none" w:sz="0" w:space="0" w:color="auto" w:frame="1"/>
          <w:lang w:eastAsia="pt-BR"/>
        </w:rPr>
        <w:t> Esta Lei estabelece as normas gerais sobre o controle da poluição sonora e dispõe sobre os limites máximos de intensidade da emissão de sons e ruídos resultantes de atividades urbanas e rurais no Distrito Federal.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2º</w:t>
      </w:r>
      <w:r w:rsidRPr="00E60BEA">
        <w:rPr>
          <w:rFonts w:ascii="inherit" w:eastAsia="Times New Roman" w:hAnsi="inherit" w:cs="Tahoma"/>
          <w:i/>
          <w:iCs/>
          <w:color w:val="58595B"/>
          <w:sz w:val="17"/>
          <w:szCs w:val="17"/>
          <w:bdr w:val="none" w:sz="0" w:space="0" w:color="auto" w:frame="1"/>
          <w:lang w:eastAsia="pt-BR"/>
        </w:rPr>
        <w:t> É proibido perturbar o sossego e o bem-estar público da população pela emissão de sons e ruídos por quaisquer fontes ou atividades que ultrapassem os níveis máximos de intensidade fixados nesta Lei.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CAPÍTULO II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DAS DEFINIÇÕES ESPECÍFICAS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3º</w:t>
      </w:r>
      <w:r w:rsidRPr="00E60BEA">
        <w:rPr>
          <w:rFonts w:ascii="inherit" w:eastAsia="Times New Roman" w:hAnsi="inherit" w:cs="Tahoma"/>
          <w:i/>
          <w:iCs/>
          <w:color w:val="58595B"/>
          <w:sz w:val="17"/>
          <w:szCs w:val="17"/>
          <w:bdr w:val="none" w:sz="0" w:space="0" w:color="auto" w:frame="1"/>
          <w:lang w:eastAsia="pt-BR"/>
        </w:rPr>
        <w:t> Para os efeitos desta Lei, são estabelecidas as seguintes definições:</w:t>
      </w:r>
      <w:r w:rsidRPr="00E60BEA">
        <w:rPr>
          <w:rFonts w:ascii="inherit" w:eastAsia="Times New Roman" w:hAnsi="inherit" w:cs="Tahoma"/>
          <w:i/>
          <w:iCs/>
          <w:color w:val="58595B"/>
          <w:sz w:val="17"/>
          <w:szCs w:val="17"/>
          <w:bdr w:val="none" w:sz="0" w:space="0" w:color="auto" w:frame="1"/>
          <w:lang w:eastAsia="pt-BR"/>
        </w:rPr>
        <w:br/>
        <w:t>I – poluição sonora: toda emissão de som que, direta ou indiretamente, seja ofensiva ou nociva à saúde, à segurança e ao bem-estar da coletividade ou transgrida o disposto nesta Lei;</w:t>
      </w:r>
      <w:r w:rsidRPr="00E60BEA">
        <w:rPr>
          <w:rFonts w:ascii="inherit" w:eastAsia="Times New Roman" w:hAnsi="inherit" w:cs="Tahoma"/>
          <w:i/>
          <w:iCs/>
          <w:color w:val="58595B"/>
          <w:sz w:val="17"/>
          <w:szCs w:val="17"/>
          <w:bdr w:val="none" w:sz="0" w:space="0" w:color="auto" w:frame="1"/>
          <w:lang w:eastAsia="pt-BR"/>
        </w:rPr>
        <w:br/>
        <w:t>II – atividades potencialmente poluidoras: atividades suscetíveis de produzir ruído nocivo ou incomodativo para os que habitem, trabalhem ou permaneçam nas imediações do local de onde decorre;</w:t>
      </w:r>
      <w:r w:rsidRPr="00E60BEA">
        <w:rPr>
          <w:rFonts w:ascii="inherit" w:eastAsia="Times New Roman" w:hAnsi="inherit" w:cs="Tahoma"/>
          <w:i/>
          <w:iCs/>
          <w:color w:val="58595B"/>
          <w:sz w:val="17"/>
          <w:szCs w:val="17"/>
          <w:bdr w:val="none" w:sz="0" w:space="0" w:color="auto" w:frame="1"/>
          <w:lang w:eastAsia="pt-BR"/>
        </w:rPr>
        <w:br/>
        <w:t>III – atividades ruidosas temporárias: atividades ruidosas que assumem caráter não permanente, tais como obras de construção civil, competições desportivas, espetáculos, festas ou outros eventos de diversão, feiras, mercados, etc.;</w:t>
      </w:r>
      <w:r w:rsidRPr="00E60BEA">
        <w:rPr>
          <w:rFonts w:ascii="inherit" w:eastAsia="Times New Roman" w:hAnsi="inherit" w:cs="Tahoma"/>
          <w:i/>
          <w:iCs/>
          <w:color w:val="58595B"/>
          <w:sz w:val="17"/>
          <w:szCs w:val="17"/>
          <w:bdr w:val="none" w:sz="0" w:space="0" w:color="auto" w:frame="1"/>
          <w:lang w:eastAsia="pt-BR"/>
        </w:rPr>
        <w:br/>
        <w:t>IV – ruído de vizinhança: todo ruído não enquadrável em atos ou atividades sujeitas a regime específico no âmbito do presente dispositivo legal, associado ao uso habitacional e às atividades que lhe são inerentes, produzido em lugar público ou privado, diretamente por alguém ou por intermédio de outrem, ou de dispositivo à sua guarda, ou de animal colocado sob sua responsabilidade que, pela duração, repetição ou intensidade do ruído, seja suscetível de atentar contra a tranqüilidade da vizinhança ou a saúde pública; </w:t>
      </w:r>
      <w:r w:rsidRPr="00E60BEA">
        <w:rPr>
          <w:rFonts w:ascii="inherit" w:eastAsia="Times New Roman" w:hAnsi="inherit" w:cs="Tahoma"/>
          <w:i/>
          <w:iCs/>
          <w:color w:val="58595B"/>
          <w:sz w:val="17"/>
          <w:szCs w:val="17"/>
          <w:bdr w:val="none" w:sz="0" w:space="0" w:color="auto" w:frame="1"/>
          <w:lang w:eastAsia="pt-BR"/>
        </w:rPr>
        <w:br/>
        <w:t>V – meio ambiente: é o conjunto formado pelo meio físico e os elementos naturais, sociais e econômicos nele contidos;</w:t>
      </w:r>
      <w:r w:rsidRPr="00E60BEA">
        <w:rPr>
          <w:rFonts w:ascii="inherit" w:eastAsia="Times New Roman" w:hAnsi="inherit" w:cs="Tahoma"/>
          <w:i/>
          <w:iCs/>
          <w:color w:val="58595B"/>
          <w:sz w:val="17"/>
          <w:szCs w:val="17"/>
          <w:bdr w:val="none" w:sz="0" w:space="0" w:color="auto" w:frame="1"/>
          <w:lang w:eastAsia="pt-BR"/>
        </w:rPr>
        <w:br/>
        <w:t>VI – som: fenômeno físico provocado pela propagação de vibrações mecânicas em um meio elástico, dentro de faixa de freqüência de 16Hz (dezesseis hertz) a 20kHz (vinte quilohertz), e passível de excitar o aparelho auditivo humano; </w:t>
      </w:r>
      <w:r w:rsidRPr="00E60BEA">
        <w:rPr>
          <w:rFonts w:ascii="inherit" w:eastAsia="Times New Roman" w:hAnsi="inherit" w:cs="Tahoma"/>
          <w:i/>
          <w:iCs/>
          <w:color w:val="58595B"/>
          <w:sz w:val="17"/>
          <w:szCs w:val="17"/>
          <w:bdr w:val="none" w:sz="0" w:space="0" w:color="auto" w:frame="1"/>
          <w:lang w:eastAsia="pt-BR"/>
        </w:rPr>
        <w:br/>
        <w:t>VII – ruído: qualquer som ou vibração que cause ou possa causar perturbações ao sossego público ou produza efeitos psicológicos ou fisiológicos negativos em seres humanos e animais;</w:t>
      </w:r>
      <w:r w:rsidRPr="00E60BEA">
        <w:rPr>
          <w:rFonts w:ascii="inherit" w:eastAsia="Times New Roman" w:hAnsi="inherit" w:cs="Tahoma"/>
          <w:i/>
          <w:iCs/>
          <w:color w:val="58595B"/>
          <w:sz w:val="17"/>
          <w:szCs w:val="17"/>
          <w:bdr w:val="none" w:sz="0" w:space="0" w:color="auto" w:frame="1"/>
          <w:lang w:eastAsia="pt-BR"/>
        </w:rPr>
        <w:br/>
        <w:t>VIII – distúrbio por ruído ou distúrbio sonoro é qualquer som que:</w:t>
      </w:r>
      <w:r w:rsidRPr="00E60BEA">
        <w:rPr>
          <w:rFonts w:ascii="inherit" w:eastAsia="Times New Roman" w:hAnsi="inherit" w:cs="Tahoma"/>
          <w:i/>
          <w:iCs/>
          <w:color w:val="58595B"/>
          <w:sz w:val="17"/>
          <w:szCs w:val="17"/>
          <w:bdr w:val="none" w:sz="0" w:space="0" w:color="auto" w:frame="1"/>
          <w:lang w:eastAsia="pt-BR"/>
        </w:rPr>
        <w:br/>
        <w:t>a) ponha em perigo ou prejudique a saúde de seres humanos ou animais;</w:t>
      </w:r>
      <w:r w:rsidRPr="00E60BEA">
        <w:rPr>
          <w:rFonts w:ascii="inherit" w:eastAsia="Times New Roman" w:hAnsi="inherit" w:cs="Tahoma"/>
          <w:i/>
          <w:iCs/>
          <w:color w:val="58595B"/>
          <w:sz w:val="17"/>
          <w:szCs w:val="17"/>
          <w:bdr w:val="none" w:sz="0" w:space="0" w:color="auto" w:frame="1"/>
          <w:lang w:eastAsia="pt-BR"/>
        </w:rPr>
        <w:br/>
        <w:t>b) cause danos de qualquer natureza à propriedade pública ou privada;</w:t>
      </w:r>
      <w:r w:rsidRPr="00E60BEA">
        <w:rPr>
          <w:rFonts w:ascii="inherit" w:eastAsia="Times New Roman" w:hAnsi="inherit" w:cs="Tahoma"/>
          <w:i/>
          <w:iCs/>
          <w:color w:val="58595B"/>
          <w:sz w:val="17"/>
          <w:szCs w:val="17"/>
          <w:bdr w:val="none" w:sz="0" w:space="0" w:color="auto" w:frame="1"/>
          <w:lang w:eastAsia="pt-BR"/>
        </w:rPr>
        <w:br/>
        <w:t>c) possa ser considerado incômodo ou ultrapasse os níveis máximos fixados nesta Lei;</w:t>
      </w:r>
      <w:r w:rsidRPr="00E60BEA">
        <w:rPr>
          <w:rFonts w:ascii="inherit" w:eastAsia="Times New Roman" w:hAnsi="inherit" w:cs="Tahoma"/>
          <w:i/>
          <w:iCs/>
          <w:color w:val="58595B"/>
          <w:sz w:val="17"/>
          <w:szCs w:val="17"/>
          <w:bdr w:val="none" w:sz="0" w:space="0" w:color="auto" w:frame="1"/>
          <w:lang w:eastAsia="pt-BR"/>
        </w:rPr>
        <w:br/>
        <w:t>IX – ruído impulsivo: ruído que contém impulsos, que são picos de energia acústica com duração menor do que 1s (um segundo) e que se repetem em intervalos maiores do que 1s (um segundo);</w:t>
      </w:r>
      <w:r w:rsidRPr="00E60BEA">
        <w:rPr>
          <w:rFonts w:ascii="inherit" w:eastAsia="Times New Roman" w:hAnsi="inherit" w:cs="Tahoma"/>
          <w:i/>
          <w:iCs/>
          <w:color w:val="58595B"/>
          <w:sz w:val="17"/>
          <w:szCs w:val="17"/>
          <w:bdr w:val="none" w:sz="0" w:space="0" w:color="auto" w:frame="1"/>
          <w:lang w:eastAsia="pt-BR"/>
        </w:rPr>
        <w:br/>
        <w:t>X – ruído com componentes tonais: ruído que contém tons puros, como o som de apitos ou zumbidos;</w:t>
      </w:r>
      <w:r w:rsidRPr="00E60BEA">
        <w:rPr>
          <w:rFonts w:ascii="inherit" w:eastAsia="Times New Roman" w:hAnsi="inherit" w:cs="Tahoma"/>
          <w:i/>
          <w:iCs/>
          <w:color w:val="58595B"/>
          <w:sz w:val="17"/>
          <w:szCs w:val="17"/>
          <w:bdr w:val="none" w:sz="0" w:space="0" w:color="auto" w:frame="1"/>
          <w:lang w:eastAsia="pt-BR"/>
        </w:rPr>
        <w:br/>
        <w:t>XI – ruído de fundo: todo e qualquer som que seja emitido durante um período de medições sonoras e que não seja objeto das medições;</w:t>
      </w:r>
      <w:r w:rsidRPr="00E60BEA">
        <w:rPr>
          <w:rFonts w:ascii="inherit" w:eastAsia="Times New Roman" w:hAnsi="inherit" w:cs="Tahoma"/>
          <w:i/>
          <w:iCs/>
          <w:color w:val="58595B"/>
          <w:sz w:val="17"/>
          <w:szCs w:val="17"/>
          <w:bdr w:val="none" w:sz="0" w:space="0" w:color="auto" w:frame="1"/>
          <w:lang w:eastAsia="pt-BR"/>
        </w:rPr>
        <w:br/>
        <w:t>XII – nível de pressão sonora equivalente – LAeq: nível obtido a partir do valor médio quadrático da pressão sonora (com ponderação A) referente a todo o intervalo de medição, que pode ser calculado conforme Anexo A da Norma Brasileira da Associação Brasileira de Normas Técnicas – ABNT NBR 10.151;</w:t>
      </w:r>
      <w:r w:rsidRPr="00E60BEA">
        <w:rPr>
          <w:rFonts w:ascii="inherit" w:eastAsia="Times New Roman" w:hAnsi="inherit" w:cs="Tahoma"/>
          <w:i/>
          <w:iCs/>
          <w:color w:val="58595B"/>
          <w:sz w:val="17"/>
          <w:szCs w:val="17"/>
          <w:bdr w:val="none" w:sz="0" w:space="0" w:color="auto" w:frame="1"/>
          <w:lang w:eastAsia="pt-BR"/>
        </w:rPr>
        <w:br/>
        <w:t>XIII – limite real da propriedade: aquele representado por um plano imaginário que separa o imóvel de uma pessoa física ou jurídica do de outra ou de áreas, vias ou equipamentos públicos;</w:t>
      </w:r>
      <w:r w:rsidRPr="00E60BEA">
        <w:rPr>
          <w:rFonts w:ascii="inherit" w:eastAsia="Times New Roman" w:hAnsi="inherit" w:cs="Tahoma"/>
          <w:i/>
          <w:iCs/>
          <w:color w:val="58595B"/>
          <w:sz w:val="17"/>
          <w:szCs w:val="17"/>
          <w:bdr w:val="none" w:sz="0" w:space="0" w:color="auto" w:frame="1"/>
          <w:lang w:eastAsia="pt-BR"/>
        </w:rPr>
        <w:br/>
        <w:t>XIV – horário diurno: o período do dia compreendido entre as sete horas e as vinte e duas horas;</w:t>
      </w:r>
      <w:r w:rsidRPr="00E60BEA">
        <w:rPr>
          <w:rFonts w:ascii="inherit" w:eastAsia="Times New Roman" w:hAnsi="inherit" w:cs="Tahoma"/>
          <w:i/>
          <w:iCs/>
          <w:color w:val="58595B"/>
          <w:sz w:val="17"/>
          <w:szCs w:val="17"/>
          <w:bdr w:val="none" w:sz="0" w:space="0" w:color="auto" w:frame="1"/>
          <w:lang w:eastAsia="pt-BR"/>
        </w:rPr>
        <w:br/>
        <w:t>XV – horário noturno: o período compreendido entre as vinte e duas horas e as sete horas do dia seguinte ou, nos domingos e feriados, entre as vinte e duas horas e as oito horas;</w:t>
      </w:r>
      <w:r w:rsidRPr="00E60BEA">
        <w:rPr>
          <w:rFonts w:ascii="inherit" w:eastAsia="Times New Roman" w:hAnsi="inherit" w:cs="Tahoma"/>
          <w:i/>
          <w:iCs/>
          <w:color w:val="58595B"/>
          <w:sz w:val="17"/>
          <w:szCs w:val="17"/>
          <w:bdr w:val="none" w:sz="0" w:space="0" w:color="auto" w:frame="1"/>
          <w:lang w:eastAsia="pt-BR"/>
        </w:rPr>
        <w:br/>
        <w:t>XVI – fonte móvel de emissão sonora: qualquer veículo em que se instale equipamento de som ou de amplificação sonora.</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CAPÍTULO III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DAS COMPETÊNCIAS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4º</w:t>
      </w:r>
      <w:r w:rsidRPr="00E60BEA">
        <w:rPr>
          <w:rFonts w:ascii="inherit" w:eastAsia="Times New Roman" w:hAnsi="inherit" w:cs="Tahoma"/>
          <w:i/>
          <w:iCs/>
          <w:color w:val="58595B"/>
          <w:sz w:val="17"/>
          <w:szCs w:val="17"/>
          <w:bdr w:val="none" w:sz="0" w:space="0" w:color="auto" w:frame="1"/>
          <w:lang w:eastAsia="pt-BR"/>
        </w:rPr>
        <w:t> (VETADO).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5º</w:t>
      </w:r>
      <w:r w:rsidRPr="00E60BEA">
        <w:rPr>
          <w:rFonts w:ascii="inherit" w:eastAsia="Times New Roman" w:hAnsi="inherit" w:cs="Tahoma"/>
          <w:i/>
          <w:iCs/>
          <w:color w:val="58595B"/>
          <w:sz w:val="17"/>
          <w:szCs w:val="17"/>
          <w:bdr w:val="none" w:sz="0" w:space="0" w:color="auto" w:frame="1"/>
          <w:lang w:eastAsia="pt-BR"/>
        </w:rPr>
        <w:t> (VETADO).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6º</w:t>
      </w:r>
      <w:r w:rsidRPr="00E60BEA">
        <w:rPr>
          <w:rFonts w:ascii="inherit" w:eastAsia="Times New Roman" w:hAnsi="inherit" w:cs="Tahoma"/>
          <w:i/>
          <w:iCs/>
          <w:color w:val="58595B"/>
          <w:sz w:val="17"/>
          <w:szCs w:val="17"/>
          <w:bdr w:val="none" w:sz="0" w:space="0" w:color="auto" w:frame="1"/>
          <w:lang w:eastAsia="pt-BR"/>
        </w:rPr>
        <w:t> (VETADO).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lastRenderedPageBreak/>
        <w:t>CAPÍTULO IV</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DOS NÍVEIS DE PRESSÃO SONORA E SUAS MEDIÇÕES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7º</w:t>
      </w:r>
      <w:r w:rsidRPr="00E60BEA">
        <w:rPr>
          <w:rFonts w:ascii="inherit" w:eastAsia="Times New Roman" w:hAnsi="inherit" w:cs="Tahoma"/>
          <w:i/>
          <w:iCs/>
          <w:color w:val="58595B"/>
          <w:sz w:val="17"/>
          <w:szCs w:val="17"/>
          <w:bdr w:val="none" w:sz="0" w:space="0" w:color="auto" w:frame="1"/>
          <w:lang w:eastAsia="pt-BR"/>
        </w:rPr>
        <w:t> O nível máximo de pressão sonora permitido em ambientes internos e externos e os métodos utilizados para sua medição e avaliação são os estabelecidos pela ABNT NBR 10.151 e pela ABNT NBR 10.152, especificados nas Tabelas I e II dos Anexos I e II desta Lei.</w:t>
      </w:r>
      <w:r w:rsidRPr="00E60BEA">
        <w:rPr>
          <w:rFonts w:ascii="inherit" w:eastAsia="Times New Roman" w:hAnsi="inherit" w:cs="Tahoma"/>
          <w:i/>
          <w:iCs/>
          <w:color w:val="58595B"/>
          <w:sz w:val="17"/>
          <w:szCs w:val="17"/>
          <w:bdr w:val="none" w:sz="0" w:space="0" w:color="auto" w:frame="1"/>
          <w:lang w:eastAsia="pt-BR"/>
        </w:rPr>
        <w:br/>
        <w:t>§ 1º Os níveis de pressão sonora deverão ser medidos de acordo com a ABNT NBR 10.151.</w:t>
      </w:r>
      <w:r w:rsidRPr="00E60BEA">
        <w:rPr>
          <w:rFonts w:ascii="inherit" w:eastAsia="Times New Roman" w:hAnsi="inherit" w:cs="Tahoma"/>
          <w:i/>
          <w:iCs/>
          <w:color w:val="58595B"/>
          <w:sz w:val="17"/>
          <w:szCs w:val="17"/>
          <w:bdr w:val="none" w:sz="0" w:space="0" w:color="auto" w:frame="1"/>
          <w:lang w:eastAsia="pt-BR"/>
        </w:rPr>
        <w:br/>
        <w:t>§ 2º Quando a fonte emissora estiver em uma zona de uso e ocupação diversa daquela de onde proceder a reclamação de incômodo por suposta poluição sonora, serão considerados os limites de emissão estabelecidos nesta Lei para a zona de onde proceder a reclamação. </w:t>
      </w:r>
      <w:r w:rsidRPr="00E60BEA">
        <w:rPr>
          <w:rFonts w:ascii="inherit" w:eastAsia="Times New Roman" w:hAnsi="inherit" w:cs="Tahoma"/>
          <w:i/>
          <w:iCs/>
          <w:color w:val="58595B"/>
          <w:sz w:val="17"/>
          <w:szCs w:val="17"/>
          <w:bdr w:val="none" w:sz="0" w:space="0" w:color="auto" w:frame="1"/>
          <w:lang w:eastAsia="pt-BR"/>
        </w:rPr>
        <w:br/>
        <w:t>§ 3º Escolas, creches, bibliotecas, hospitais, ambulatórios, casas de saúde ou similares deverão comprovar devido tratamento acústico, visando ao isolamento do ruído externo, para adequação do conforto acústico, conforme os níveis estabelecidos pela ABNT NBR 10.152, ressalvado o disposto no art.  28 desta Lei.</w:t>
      </w:r>
      <w:r w:rsidRPr="00E60BEA">
        <w:rPr>
          <w:rFonts w:ascii="inherit" w:eastAsia="Times New Roman" w:hAnsi="inherit" w:cs="Tahoma"/>
          <w:i/>
          <w:iCs/>
          <w:color w:val="58595B"/>
          <w:sz w:val="17"/>
          <w:szCs w:val="17"/>
          <w:bdr w:val="none" w:sz="0" w:space="0" w:color="auto" w:frame="1"/>
          <w:lang w:eastAsia="pt-BR"/>
        </w:rPr>
        <w:br/>
        <w:t>§ 4º Quando o nível de pressão sonora proveniente do tráfego ultrapassar os padrões fixados por esta Lei, caberá ao órgão responsável pela via buscar, com a cooperação dos demais órgãos competentes, os meios para controlar o ruído e eliminar o distúrbio.</w:t>
      </w:r>
      <w:r w:rsidRPr="00E60BEA">
        <w:rPr>
          <w:rFonts w:ascii="inherit" w:eastAsia="Times New Roman" w:hAnsi="inherit" w:cs="Tahoma"/>
          <w:i/>
          <w:iCs/>
          <w:color w:val="58595B"/>
          <w:sz w:val="17"/>
          <w:szCs w:val="17"/>
          <w:bdr w:val="none" w:sz="0" w:space="0" w:color="auto" w:frame="1"/>
          <w:lang w:eastAsia="pt-BR"/>
        </w:rPr>
        <w:br/>
        <w:t>§ 5º Independentemente do ruído de fundo, o nível de pressão sonora proveniente da fonte emissora não poderá exceder os níveis fixados na Tabela I (Anexo I), que é parte integrante desta Lei.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8º</w:t>
      </w:r>
      <w:r w:rsidRPr="00E60BEA">
        <w:rPr>
          <w:rFonts w:ascii="inherit" w:eastAsia="Times New Roman" w:hAnsi="inherit" w:cs="Tahoma"/>
          <w:i/>
          <w:iCs/>
          <w:color w:val="58595B"/>
          <w:sz w:val="17"/>
          <w:szCs w:val="17"/>
          <w:bdr w:val="none" w:sz="0" w:space="0" w:color="auto" w:frame="1"/>
          <w:lang w:eastAsia="pt-BR"/>
        </w:rPr>
        <w:t> É vedado o uso de fonte móvel de emissão sonora em áreas estrita ou predominantemente residenciais ou de hospitais, bibliotecas e escolas, bem como o uso de buzinas, sinais de alarme e outros equipamentos similares. </w:t>
      </w:r>
      <w:r w:rsidRPr="00E60BEA">
        <w:rPr>
          <w:rFonts w:ascii="inherit" w:eastAsia="Times New Roman" w:hAnsi="inherit" w:cs="Tahoma"/>
          <w:i/>
          <w:iCs/>
          <w:color w:val="58595B"/>
          <w:sz w:val="17"/>
          <w:szCs w:val="17"/>
          <w:bdr w:val="none" w:sz="0" w:space="0" w:color="auto" w:frame="1"/>
          <w:lang w:eastAsia="pt-BR"/>
        </w:rPr>
        <w:br/>
        <w:t>§ 1º O órgão competente do Distrito Federal implantará a sinalização de silêncio nas proximidades de hospitais, prontos-socorros, sanatórios, clínicas, escolas e bibliotecas.</w:t>
      </w:r>
      <w:r w:rsidRPr="00E60BEA">
        <w:rPr>
          <w:rFonts w:ascii="inherit" w:eastAsia="Times New Roman" w:hAnsi="inherit" w:cs="Tahoma"/>
          <w:i/>
          <w:iCs/>
          <w:color w:val="58595B"/>
          <w:sz w:val="17"/>
          <w:szCs w:val="17"/>
          <w:bdr w:val="none" w:sz="0" w:space="0" w:color="auto" w:frame="1"/>
          <w:lang w:eastAsia="pt-BR"/>
        </w:rPr>
        <w:br/>
        <w:t>§ 2º Os veículos automotores e os carros de som submetem-se aos limites de emissão sonora especificados na Tabela I do Anexo I desta Lei.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9º</w:t>
      </w:r>
      <w:r w:rsidRPr="00E60BEA">
        <w:rPr>
          <w:rFonts w:ascii="inherit" w:eastAsia="Times New Roman" w:hAnsi="inherit" w:cs="Tahoma"/>
          <w:i/>
          <w:iCs/>
          <w:color w:val="58595B"/>
          <w:sz w:val="17"/>
          <w:szCs w:val="17"/>
          <w:bdr w:val="none" w:sz="0" w:space="0" w:color="auto" w:frame="1"/>
          <w:lang w:eastAsia="pt-BR"/>
        </w:rPr>
        <w:t> Os níveis de pressão sonora provocados por máquinas e aparelhos utilizados nos serviços de construção civil não poderão exceder os limites máximos estabelecidos nesta Lei. </w:t>
      </w:r>
      <w:r w:rsidRPr="00E60BEA">
        <w:rPr>
          <w:rFonts w:ascii="inherit" w:eastAsia="Times New Roman" w:hAnsi="inherit" w:cs="Tahoma"/>
          <w:i/>
          <w:iCs/>
          <w:color w:val="58595B"/>
          <w:sz w:val="17"/>
          <w:szCs w:val="17"/>
          <w:bdr w:val="none" w:sz="0" w:space="0" w:color="auto" w:frame="1"/>
          <w:lang w:eastAsia="pt-BR"/>
        </w:rPr>
        <w:br/>
        <w:t>§ 1º Os serviços de construção civil, mesmo quando de responsabilidade de entidades públicas, dependem de autorização prévia do órgão competente quando executados:</w:t>
      </w:r>
      <w:r w:rsidRPr="00E60BEA">
        <w:rPr>
          <w:rFonts w:ascii="inherit" w:eastAsia="Times New Roman" w:hAnsi="inherit" w:cs="Tahoma"/>
          <w:i/>
          <w:iCs/>
          <w:color w:val="58595B"/>
          <w:sz w:val="17"/>
          <w:szCs w:val="17"/>
          <w:bdr w:val="none" w:sz="0" w:space="0" w:color="auto" w:frame="1"/>
          <w:lang w:eastAsia="pt-BR"/>
        </w:rPr>
        <w:br/>
        <w:t>I – em domingos e feriados, em qualquer horário;</w:t>
      </w:r>
      <w:r w:rsidRPr="00E60BEA">
        <w:rPr>
          <w:rFonts w:ascii="inherit" w:eastAsia="Times New Roman" w:hAnsi="inherit" w:cs="Tahoma"/>
          <w:i/>
          <w:iCs/>
          <w:color w:val="58595B"/>
          <w:sz w:val="17"/>
          <w:szCs w:val="17"/>
          <w:bdr w:val="none" w:sz="0" w:space="0" w:color="auto" w:frame="1"/>
          <w:lang w:eastAsia="pt-BR"/>
        </w:rPr>
        <w:br/>
        <w:t>II – em dias úteis, no horário noturno, observado o disposto nos parágrafos seguintes.</w:t>
      </w:r>
      <w:r w:rsidRPr="00E60BEA">
        <w:rPr>
          <w:rFonts w:ascii="inherit" w:eastAsia="Times New Roman" w:hAnsi="inherit" w:cs="Tahoma"/>
          <w:i/>
          <w:iCs/>
          <w:color w:val="58595B"/>
          <w:sz w:val="17"/>
          <w:szCs w:val="17"/>
          <w:bdr w:val="none" w:sz="0" w:space="0" w:color="auto" w:frame="1"/>
          <w:lang w:eastAsia="pt-BR"/>
        </w:rPr>
        <w:br/>
        <w:t>§ 2º As atividades relacionadas com construção civil, reformas, consertos e operações de carga e descarga não passíveis de confinamento ou que, apesar de confinadas, ultrapassem o nível de pressão sonora máximo para elas admitido somente podem ser realizadas no horário de sete a dezoito horas, se contínuas, e no de sete a dezenove horas, se descontínuas, de segunda a sábado. </w:t>
      </w:r>
      <w:r w:rsidRPr="00E60BEA">
        <w:rPr>
          <w:rFonts w:ascii="inherit" w:eastAsia="Times New Roman" w:hAnsi="inherit" w:cs="Tahoma"/>
          <w:i/>
          <w:iCs/>
          <w:color w:val="58595B"/>
          <w:sz w:val="17"/>
          <w:szCs w:val="17"/>
          <w:bdr w:val="none" w:sz="0" w:space="0" w:color="auto" w:frame="1"/>
          <w:lang w:eastAsia="pt-BR"/>
        </w:rPr>
        <w:br/>
        <w:t>§ 3º As atividades mencionadas no parágrafo anterior somente podem ser realizadas aos domingos e feriados mediante licença especial, com discriminação de horários e tipos de serviço passíveis de serem executados.</w:t>
      </w:r>
      <w:r w:rsidRPr="00E60BEA">
        <w:rPr>
          <w:rFonts w:ascii="inherit" w:eastAsia="Times New Roman" w:hAnsi="inherit" w:cs="Tahoma"/>
          <w:i/>
          <w:iCs/>
          <w:color w:val="58595B"/>
          <w:sz w:val="17"/>
          <w:szCs w:val="17"/>
          <w:bdr w:val="none" w:sz="0" w:space="0" w:color="auto" w:frame="1"/>
          <w:lang w:eastAsia="pt-BR"/>
        </w:rPr>
        <w:br/>
        <w:t>§ 4º As restrições referidas neste artigo não se aplicam às obras e aos serviços urgentes e inadiáveis decorrentes de casos fortuitos ou de força maior, de acidentes graves ou de perigo iminente à segurança e ao bem-estar públicos, bem como ao restabelecimento de serviços públicos essenciais de energia elétrica, telefone, água, esgoto e sistema viário. </w:t>
      </w:r>
      <w:r w:rsidRPr="00E60BEA">
        <w:rPr>
          <w:rFonts w:ascii="inherit" w:eastAsia="Times New Roman" w:hAnsi="inherit" w:cs="Tahoma"/>
          <w:i/>
          <w:iCs/>
          <w:color w:val="58595B"/>
          <w:sz w:val="17"/>
          <w:szCs w:val="17"/>
          <w:bdr w:val="none" w:sz="0" w:space="0" w:color="auto" w:frame="1"/>
          <w:lang w:eastAsia="pt-BR"/>
        </w:rPr>
        <w:br/>
        <w:t>§ 5º (VETADO).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10.</w:t>
      </w:r>
      <w:r w:rsidRPr="00E60BEA">
        <w:rPr>
          <w:rFonts w:ascii="inherit" w:eastAsia="Times New Roman" w:hAnsi="inherit" w:cs="Tahoma"/>
          <w:i/>
          <w:iCs/>
          <w:color w:val="58595B"/>
          <w:sz w:val="17"/>
          <w:szCs w:val="17"/>
          <w:bdr w:val="none" w:sz="0" w:space="0" w:color="auto" w:frame="1"/>
          <w:lang w:eastAsia="pt-BR"/>
        </w:rPr>
        <w:t> Não se inclui nas proibições impostas pelo art. 7º a emissão de sons e ruídos produzidos:</w:t>
      </w:r>
      <w:r w:rsidRPr="00E60BEA">
        <w:rPr>
          <w:rFonts w:ascii="inherit" w:eastAsia="Times New Roman" w:hAnsi="inherit" w:cs="Tahoma"/>
          <w:i/>
          <w:iCs/>
          <w:color w:val="58595B"/>
          <w:sz w:val="17"/>
          <w:szCs w:val="17"/>
          <w:bdr w:val="none" w:sz="0" w:space="0" w:color="auto" w:frame="1"/>
          <w:lang w:eastAsia="pt-BR"/>
        </w:rPr>
        <w:br/>
        <w:t>I – por sirenes ou aparelhos de sinalização sonora utilizados por ambulâncias, carros de bombeiros ou viaturas policiais;</w:t>
      </w:r>
      <w:r w:rsidRPr="00E60BEA">
        <w:rPr>
          <w:rFonts w:ascii="inherit" w:eastAsia="Times New Roman" w:hAnsi="inherit" w:cs="Tahoma"/>
          <w:i/>
          <w:iCs/>
          <w:color w:val="58595B"/>
          <w:sz w:val="17"/>
          <w:szCs w:val="17"/>
          <w:bdr w:val="none" w:sz="0" w:space="0" w:color="auto" w:frame="1"/>
          <w:lang w:eastAsia="pt-BR"/>
        </w:rPr>
        <w:br/>
        <w:t>II – por explosivos utilizados em pedreiras e em demolições, desde que detonados no período diurno e com a devida licença dos órgãos ambiental e administrativo competentes.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11.</w:t>
      </w:r>
      <w:r w:rsidRPr="00E60BEA">
        <w:rPr>
          <w:rFonts w:ascii="inherit" w:eastAsia="Times New Roman" w:hAnsi="inherit" w:cs="Tahoma"/>
          <w:i/>
          <w:iCs/>
          <w:color w:val="58595B"/>
          <w:sz w:val="17"/>
          <w:szCs w:val="17"/>
          <w:bdr w:val="none" w:sz="0" w:space="0" w:color="auto" w:frame="1"/>
          <w:lang w:eastAsia="pt-BR"/>
        </w:rPr>
        <w:t> Os níveis de pressão sonora produzidos pelo funcionamento de veículos automotores e aeronaves e os produzidos no interior de ambientes de trabalho obedecem às normas expedidas pelos órgãos federais competentes.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12.</w:t>
      </w:r>
      <w:r w:rsidRPr="00E60BEA">
        <w:rPr>
          <w:rFonts w:ascii="inherit" w:eastAsia="Times New Roman" w:hAnsi="inherit" w:cs="Tahoma"/>
          <w:i/>
          <w:iCs/>
          <w:color w:val="58595B"/>
          <w:sz w:val="17"/>
          <w:szCs w:val="17"/>
          <w:bdr w:val="none" w:sz="0" w:space="0" w:color="auto" w:frame="1"/>
          <w:lang w:eastAsia="pt-BR"/>
        </w:rPr>
        <w:t> Os equipamentos de medição (medidor de nível de pressão sonora e calibrador) devem ser calibrados regularmente pelo Instituto Nacional de Metrologia, Normalização e Qualidade Industrial – Inmetro ou por laboratórios pertencentes à Rede Brasileira de Calibração – RBC, conforme a ABNT NBR 10.151.</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CAPÍTULO V</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DAS AUTORIZAÇÕES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13.</w:t>
      </w:r>
      <w:r w:rsidRPr="00E60BEA">
        <w:rPr>
          <w:rFonts w:ascii="inherit" w:eastAsia="Times New Roman" w:hAnsi="inherit" w:cs="Tahoma"/>
          <w:i/>
          <w:iCs/>
          <w:color w:val="58595B"/>
          <w:sz w:val="17"/>
          <w:szCs w:val="17"/>
          <w:bdr w:val="none" w:sz="0" w:space="0" w:color="auto" w:frame="1"/>
          <w:lang w:eastAsia="pt-BR"/>
        </w:rPr>
        <w:t> Dependem de prévia autorização do órgão competente da Administração Pública:</w:t>
      </w:r>
      <w:r w:rsidRPr="00E60BEA">
        <w:rPr>
          <w:rFonts w:ascii="inherit" w:eastAsia="Times New Roman" w:hAnsi="inherit" w:cs="Tahoma"/>
          <w:i/>
          <w:iCs/>
          <w:color w:val="58595B"/>
          <w:sz w:val="17"/>
          <w:szCs w:val="17"/>
          <w:bdr w:val="none" w:sz="0" w:space="0" w:color="auto" w:frame="1"/>
          <w:lang w:eastAsia="pt-BR"/>
        </w:rPr>
        <w:br/>
        <w:t>I – a obtenção de alvarás – mediante licença específica – para as atividades potencialmente poluidoras;</w:t>
      </w:r>
      <w:r w:rsidRPr="00E60BEA">
        <w:rPr>
          <w:rFonts w:ascii="inherit" w:eastAsia="Times New Roman" w:hAnsi="inherit" w:cs="Tahoma"/>
          <w:i/>
          <w:iCs/>
          <w:color w:val="58595B"/>
          <w:sz w:val="17"/>
          <w:szCs w:val="17"/>
          <w:bdr w:val="none" w:sz="0" w:space="0" w:color="auto" w:frame="1"/>
          <w:lang w:eastAsia="pt-BR"/>
        </w:rPr>
        <w:br/>
        <w:t>II – a utilização dos logradouros públicos para:</w:t>
      </w:r>
      <w:r w:rsidRPr="00E60BEA">
        <w:rPr>
          <w:rFonts w:ascii="inherit" w:eastAsia="Times New Roman" w:hAnsi="inherit" w:cs="Tahoma"/>
          <w:i/>
          <w:iCs/>
          <w:color w:val="58595B"/>
          <w:sz w:val="17"/>
          <w:szCs w:val="17"/>
          <w:bdr w:val="none" w:sz="0" w:space="0" w:color="auto" w:frame="1"/>
          <w:lang w:eastAsia="pt-BR"/>
        </w:rPr>
        <w:br/>
        <w:t>a) o funcionamento de equipamentos de emissão sonora, fixos ou móveis, para quaisquer fins, inclusive propaganda ou publicidade;</w:t>
      </w:r>
      <w:r w:rsidRPr="00E60BEA">
        <w:rPr>
          <w:rFonts w:ascii="inherit" w:eastAsia="Times New Roman" w:hAnsi="inherit" w:cs="Tahoma"/>
          <w:i/>
          <w:iCs/>
          <w:color w:val="58595B"/>
          <w:sz w:val="17"/>
          <w:szCs w:val="17"/>
          <w:bdr w:val="none" w:sz="0" w:space="0" w:color="auto" w:frame="1"/>
          <w:lang w:eastAsia="pt-BR"/>
        </w:rPr>
        <w:br/>
        <w:t>b) a queima de fogos de artifício;</w:t>
      </w:r>
      <w:r w:rsidRPr="00E60BEA">
        <w:rPr>
          <w:rFonts w:ascii="inherit" w:eastAsia="Times New Roman" w:hAnsi="inherit" w:cs="Tahoma"/>
          <w:i/>
          <w:iCs/>
          <w:color w:val="58595B"/>
          <w:sz w:val="17"/>
          <w:szCs w:val="17"/>
          <w:bdr w:val="none" w:sz="0" w:space="0" w:color="auto" w:frame="1"/>
          <w:lang w:eastAsia="pt-BR"/>
        </w:rPr>
        <w:br/>
        <w:t>c) outros fins que possam produzir poluição sonora.</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14.</w:t>
      </w:r>
      <w:r w:rsidRPr="00E60BEA">
        <w:rPr>
          <w:rFonts w:ascii="inherit" w:eastAsia="Times New Roman" w:hAnsi="inherit" w:cs="Tahoma"/>
          <w:i/>
          <w:iCs/>
          <w:color w:val="58595B"/>
          <w:sz w:val="17"/>
          <w:szCs w:val="17"/>
          <w:bdr w:val="none" w:sz="0" w:space="0" w:color="auto" w:frame="1"/>
          <w:lang w:eastAsia="pt-BR"/>
        </w:rPr>
        <w:t> Os ambientes internos de quaisquer estabelecimentos, exceto os de natureza religiosa, no caso de atividades sonoras potencialmente poluidoras, devem receber tratamento acústico nas instalações físicas locais para que possam atender aos limites de pressão sonora estabelecidos nesta Lei. </w:t>
      </w:r>
      <w:r w:rsidRPr="00E60BEA">
        <w:rPr>
          <w:rFonts w:ascii="inherit" w:eastAsia="Times New Roman" w:hAnsi="inherit" w:cs="Tahoma"/>
          <w:i/>
          <w:iCs/>
          <w:color w:val="58595B"/>
          <w:sz w:val="17"/>
          <w:szCs w:val="17"/>
          <w:bdr w:val="none" w:sz="0" w:space="0" w:color="auto" w:frame="1"/>
          <w:lang w:eastAsia="pt-BR"/>
        </w:rPr>
        <w:br/>
        <w:t>§ 1º A concessão ou a renovação de licença ambiental ou alvará de funcionamento estão condicionadas à apresentação de laudo técnico que comprove tratamento acústico compatível com os níveis de pressão sonora permitidos nas áreas em que os estabelecimentos estiverem situados. </w:t>
      </w:r>
      <w:r w:rsidRPr="00E60BEA">
        <w:rPr>
          <w:rFonts w:ascii="inherit" w:eastAsia="Times New Roman" w:hAnsi="inherit" w:cs="Tahoma"/>
          <w:i/>
          <w:iCs/>
          <w:color w:val="58595B"/>
          <w:sz w:val="17"/>
          <w:szCs w:val="17"/>
          <w:bdr w:val="none" w:sz="0" w:space="0" w:color="auto" w:frame="1"/>
          <w:lang w:eastAsia="pt-BR"/>
        </w:rPr>
        <w:br/>
        <w:t>§ 2º (VETADO).</w:t>
      </w:r>
      <w:r w:rsidRPr="00E60BEA">
        <w:rPr>
          <w:rFonts w:ascii="inherit" w:eastAsia="Times New Roman" w:hAnsi="inherit" w:cs="Tahoma"/>
          <w:i/>
          <w:iCs/>
          <w:color w:val="58595B"/>
          <w:sz w:val="17"/>
          <w:szCs w:val="17"/>
          <w:bdr w:val="none" w:sz="0" w:space="0" w:color="auto" w:frame="1"/>
          <w:lang w:eastAsia="pt-BR"/>
        </w:rPr>
        <w:br/>
        <w:t>§ 3º É vedada a utilização de alto-falantes que direcionem o som exclusivamente para o ambiente externo.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lastRenderedPageBreak/>
        <w:t>Art. 15.</w:t>
      </w:r>
      <w:r w:rsidRPr="00E60BEA">
        <w:rPr>
          <w:rFonts w:ascii="inherit" w:eastAsia="Times New Roman" w:hAnsi="inherit" w:cs="Tahoma"/>
          <w:i/>
          <w:iCs/>
          <w:color w:val="58595B"/>
          <w:sz w:val="17"/>
          <w:szCs w:val="17"/>
          <w:bdr w:val="none" w:sz="0" w:space="0" w:color="auto" w:frame="1"/>
          <w:lang w:eastAsia="pt-BR"/>
        </w:rPr>
        <w:t> Em caso de comprovada poluição sonora, os técnicos do órgão competente, no exercício da ação fiscalizadora, terão livre acesso às dependências onde estiverem instaladas as fontes emissoras, ressalvado o disposto no art. 5º, VI, da Constituição Federal. </w:t>
      </w:r>
      <w:r w:rsidRPr="00E60BEA">
        <w:rPr>
          <w:rFonts w:ascii="inherit" w:eastAsia="Times New Roman" w:hAnsi="inherit" w:cs="Tahoma"/>
          <w:i/>
          <w:iCs/>
          <w:color w:val="58595B"/>
          <w:sz w:val="17"/>
          <w:szCs w:val="17"/>
          <w:bdr w:val="none" w:sz="0" w:space="0" w:color="auto" w:frame="1"/>
          <w:lang w:eastAsia="pt-BR"/>
        </w:rPr>
        <w:br/>
        <w:t>Parágrafo único. Nos casos em que os responsáveis pela fonte emissora impedirem a ação fiscalizadora, os técnicos ou fiscais do órgão competente poderão solicitar auxílio a autoridades policiais para o cumprimento do disposto no caput.</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CAPÍTULO VI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DAS INFRAÇÕES E DAS PENALIDADES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16.</w:t>
      </w:r>
      <w:r w:rsidRPr="00E60BEA">
        <w:rPr>
          <w:rFonts w:ascii="inherit" w:eastAsia="Times New Roman" w:hAnsi="inherit" w:cs="Tahoma"/>
          <w:i/>
          <w:iCs/>
          <w:color w:val="58595B"/>
          <w:sz w:val="17"/>
          <w:szCs w:val="17"/>
          <w:bdr w:val="none" w:sz="0" w:space="0" w:color="auto" w:frame="1"/>
          <w:lang w:eastAsia="pt-BR"/>
        </w:rPr>
        <w:t> A pessoa física ou jurídica que infringir qualquer dispositivo desta Lei, seus regulamentos e as demais normas dela decorrentes fica sujeita às seguintes penalidades, independentemente da obrigação de cessar a infração e de outras sanções cíveis e penais: </w:t>
      </w:r>
      <w:r w:rsidRPr="00E60BEA">
        <w:rPr>
          <w:rFonts w:ascii="inherit" w:eastAsia="Times New Roman" w:hAnsi="inherit" w:cs="Tahoma"/>
          <w:i/>
          <w:iCs/>
          <w:color w:val="58595B"/>
          <w:sz w:val="17"/>
          <w:szCs w:val="17"/>
          <w:bdr w:val="none" w:sz="0" w:space="0" w:color="auto" w:frame="1"/>
          <w:lang w:eastAsia="pt-BR"/>
        </w:rPr>
        <w:br/>
        <w:t>I – advertência por escrito, na qual deverá ser estabelecido prazo para o tratamento acústico, quando for o caso;</w:t>
      </w:r>
      <w:r w:rsidRPr="00E60BEA">
        <w:rPr>
          <w:rFonts w:ascii="inherit" w:eastAsia="Times New Roman" w:hAnsi="inherit" w:cs="Tahoma"/>
          <w:i/>
          <w:iCs/>
          <w:color w:val="58595B"/>
          <w:sz w:val="17"/>
          <w:szCs w:val="17"/>
          <w:bdr w:val="none" w:sz="0" w:space="0" w:color="auto" w:frame="1"/>
          <w:lang w:eastAsia="pt-BR"/>
        </w:rPr>
        <w:br/>
        <w:t>II – multa;</w:t>
      </w:r>
      <w:r w:rsidRPr="00E60BEA">
        <w:rPr>
          <w:rFonts w:ascii="inherit" w:eastAsia="Times New Roman" w:hAnsi="inherit" w:cs="Tahoma"/>
          <w:i/>
          <w:iCs/>
          <w:color w:val="58595B"/>
          <w:sz w:val="17"/>
          <w:szCs w:val="17"/>
          <w:bdr w:val="none" w:sz="0" w:space="0" w:color="auto" w:frame="1"/>
          <w:lang w:eastAsia="pt-BR"/>
        </w:rPr>
        <w:br/>
        <w:t>III – embargo de obra ou atividade;</w:t>
      </w:r>
      <w:r w:rsidRPr="00E60BEA">
        <w:rPr>
          <w:rFonts w:ascii="inherit" w:eastAsia="Times New Roman" w:hAnsi="inherit" w:cs="Tahoma"/>
          <w:i/>
          <w:iCs/>
          <w:color w:val="58595B"/>
          <w:sz w:val="17"/>
          <w:szCs w:val="17"/>
          <w:bdr w:val="none" w:sz="0" w:space="0" w:color="auto" w:frame="1"/>
          <w:lang w:eastAsia="pt-BR"/>
        </w:rPr>
        <w:br/>
        <w:t>IV – interdição parcial ou total do estabelecimento ou da atividade poluidora;</w:t>
      </w:r>
      <w:r w:rsidRPr="00E60BEA">
        <w:rPr>
          <w:rFonts w:ascii="inherit" w:eastAsia="Times New Roman" w:hAnsi="inherit" w:cs="Tahoma"/>
          <w:i/>
          <w:iCs/>
          <w:color w:val="58595B"/>
          <w:sz w:val="17"/>
          <w:szCs w:val="17"/>
          <w:bdr w:val="none" w:sz="0" w:space="0" w:color="auto" w:frame="1"/>
          <w:lang w:eastAsia="pt-BR"/>
        </w:rPr>
        <w:br/>
        <w:t>V – apreensão dos instrumentos, petrechos, equipamentos ou veículos de qualquer natureza utilizados na infração;</w:t>
      </w:r>
      <w:r w:rsidRPr="00E60BEA">
        <w:rPr>
          <w:rFonts w:ascii="inherit" w:eastAsia="Times New Roman" w:hAnsi="inherit" w:cs="Tahoma"/>
          <w:i/>
          <w:iCs/>
          <w:color w:val="58595B"/>
          <w:sz w:val="17"/>
          <w:szCs w:val="17"/>
          <w:bdr w:val="none" w:sz="0" w:space="0" w:color="auto" w:frame="1"/>
          <w:lang w:eastAsia="pt-BR"/>
        </w:rPr>
        <w:br/>
        <w:t>VI – suspensão parcial ou total de atividades poluidoras;</w:t>
      </w:r>
      <w:r w:rsidRPr="00E60BEA">
        <w:rPr>
          <w:rFonts w:ascii="inherit" w:eastAsia="Times New Roman" w:hAnsi="inherit" w:cs="Tahoma"/>
          <w:i/>
          <w:iCs/>
          <w:color w:val="58595B"/>
          <w:sz w:val="17"/>
          <w:szCs w:val="17"/>
          <w:bdr w:val="none" w:sz="0" w:space="0" w:color="auto" w:frame="1"/>
          <w:lang w:eastAsia="pt-BR"/>
        </w:rPr>
        <w:br/>
        <w:t>VII – intervenção em estabelecimento;</w:t>
      </w:r>
      <w:r w:rsidRPr="00E60BEA">
        <w:rPr>
          <w:rFonts w:ascii="inherit" w:eastAsia="Times New Roman" w:hAnsi="inherit" w:cs="Tahoma"/>
          <w:i/>
          <w:iCs/>
          <w:color w:val="58595B"/>
          <w:sz w:val="17"/>
          <w:szCs w:val="17"/>
          <w:bdr w:val="none" w:sz="0" w:space="0" w:color="auto" w:frame="1"/>
          <w:lang w:eastAsia="pt-BR"/>
        </w:rPr>
        <w:br/>
        <w:t>VIII – cassação de alvará de funcionamento do estabelecimento;</w:t>
      </w:r>
      <w:r w:rsidRPr="00E60BEA">
        <w:rPr>
          <w:rFonts w:ascii="inherit" w:eastAsia="Times New Roman" w:hAnsi="inherit" w:cs="Tahoma"/>
          <w:i/>
          <w:iCs/>
          <w:color w:val="58595B"/>
          <w:sz w:val="17"/>
          <w:szCs w:val="17"/>
          <w:bdr w:val="none" w:sz="0" w:space="0" w:color="auto" w:frame="1"/>
          <w:lang w:eastAsia="pt-BR"/>
        </w:rPr>
        <w:br/>
        <w:t>IX – restritivas de direitos.</w:t>
      </w:r>
      <w:r w:rsidRPr="00E60BEA">
        <w:rPr>
          <w:rFonts w:ascii="inherit" w:eastAsia="Times New Roman" w:hAnsi="inherit" w:cs="Tahoma"/>
          <w:i/>
          <w:iCs/>
          <w:color w:val="58595B"/>
          <w:sz w:val="17"/>
          <w:szCs w:val="17"/>
          <w:bdr w:val="none" w:sz="0" w:space="0" w:color="auto" w:frame="1"/>
          <w:lang w:eastAsia="pt-BR"/>
        </w:rPr>
        <w:br/>
        <w:t>§ 1º Se o infrator cometer, simultaneamente, duas ou mais infrações, ser-lhe-ão aplicadas, cumulativamente, as sanções a elas cominadas.</w:t>
      </w:r>
      <w:r w:rsidRPr="00E60BEA">
        <w:rPr>
          <w:rFonts w:ascii="inherit" w:eastAsia="Times New Roman" w:hAnsi="inherit" w:cs="Tahoma"/>
          <w:i/>
          <w:iCs/>
          <w:color w:val="58595B"/>
          <w:sz w:val="17"/>
          <w:szCs w:val="17"/>
          <w:bdr w:val="none" w:sz="0" w:space="0" w:color="auto" w:frame="1"/>
          <w:lang w:eastAsia="pt-BR"/>
        </w:rPr>
        <w:br/>
        <w:t>§ 2º A advertência poderá ser aplicada com fixação do prazo para que seja regularizada a situação, sob pena de punição mais grave.</w:t>
      </w:r>
      <w:r w:rsidRPr="00E60BEA">
        <w:rPr>
          <w:rFonts w:ascii="inherit" w:eastAsia="Times New Roman" w:hAnsi="inherit" w:cs="Tahoma"/>
          <w:i/>
          <w:iCs/>
          <w:color w:val="58595B"/>
          <w:sz w:val="17"/>
          <w:szCs w:val="17"/>
          <w:bdr w:val="none" w:sz="0" w:space="0" w:color="auto" w:frame="1"/>
          <w:lang w:eastAsia="pt-BR"/>
        </w:rPr>
        <w:br/>
        <w:t>§ 3º A multa será aplicada sempre que o infrator, por negligência ou dolo:</w:t>
      </w:r>
      <w:r w:rsidRPr="00E60BEA">
        <w:rPr>
          <w:rFonts w:ascii="inherit" w:eastAsia="Times New Roman" w:hAnsi="inherit" w:cs="Tahoma"/>
          <w:i/>
          <w:iCs/>
          <w:color w:val="58595B"/>
          <w:sz w:val="17"/>
          <w:szCs w:val="17"/>
          <w:bdr w:val="none" w:sz="0" w:space="0" w:color="auto" w:frame="1"/>
          <w:lang w:eastAsia="pt-BR"/>
        </w:rPr>
        <w:br/>
        <w:t>I – após ter sido autuado, praticar novamente a infração e deixar de cumprir as exigências técnicas no prazo estabelecido pelo órgão fiscalizador;</w:t>
      </w:r>
      <w:r w:rsidRPr="00E60BEA">
        <w:rPr>
          <w:rFonts w:ascii="inherit" w:eastAsia="Times New Roman" w:hAnsi="inherit" w:cs="Tahoma"/>
          <w:i/>
          <w:iCs/>
          <w:color w:val="58595B"/>
          <w:sz w:val="17"/>
          <w:szCs w:val="17"/>
          <w:bdr w:val="none" w:sz="0" w:space="0" w:color="auto" w:frame="1"/>
          <w:lang w:eastAsia="pt-BR"/>
        </w:rPr>
        <w:br/>
        <w:t>II – opuser embaraço à ação fiscalizadora.</w:t>
      </w:r>
      <w:r w:rsidRPr="00E60BEA">
        <w:rPr>
          <w:rFonts w:ascii="inherit" w:eastAsia="Times New Roman" w:hAnsi="inherit" w:cs="Tahoma"/>
          <w:i/>
          <w:iCs/>
          <w:color w:val="58595B"/>
          <w:sz w:val="17"/>
          <w:szCs w:val="17"/>
          <w:bdr w:val="none" w:sz="0" w:space="0" w:color="auto" w:frame="1"/>
          <w:lang w:eastAsia="pt-BR"/>
        </w:rPr>
        <w:br/>
        <w:t>§ 4º A apreensão referida no inciso V do caput obedecerá ao disposto em regulamentação específica.</w:t>
      </w:r>
      <w:r w:rsidRPr="00E60BEA">
        <w:rPr>
          <w:rFonts w:ascii="inherit" w:eastAsia="Times New Roman" w:hAnsi="inherit" w:cs="Tahoma"/>
          <w:i/>
          <w:iCs/>
          <w:color w:val="58595B"/>
          <w:sz w:val="17"/>
          <w:szCs w:val="17"/>
          <w:bdr w:val="none" w:sz="0" w:space="0" w:color="auto" w:frame="1"/>
          <w:lang w:eastAsia="pt-BR"/>
        </w:rPr>
        <w:br/>
        <w:t>§ 5º As sanções indicadas nos incisos IV e VII do caput serão aplicadas quando o produto, a obra, a atividade ou o estabelecimento não obedecerem às prescrições legais ou regulamentares. </w:t>
      </w:r>
      <w:r w:rsidRPr="00E60BEA">
        <w:rPr>
          <w:rFonts w:ascii="inherit" w:eastAsia="Times New Roman" w:hAnsi="inherit" w:cs="Tahoma"/>
          <w:i/>
          <w:iCs/>
          <w:color w:val="58595B"/>
          <w:sz w:val="17"/>
          <w:szCs w:val="17"/>
          <w:bdr w:val="none" w:sz="0" w:space="0" w:color="auto" w:frame="1"/>
          <w:lang w:eastAsia="pt-BR"/>
        </w:rPr>
        <w:br/>
        <w:t>§ 6º A intervenção ocorrerá sempre que o estabelecimento estiver funcionando sem a devida autorização ou em desacordo com a autorização concedida.</w:t>
      </w:r>
      <w:r w:rsidRPr="00E60BEA">
        <w:rPr>
          <w:rFonts w:ascii="inherit" w:eastAsia="Times New Roman" w:hAnsi="inherit" w:cs="Tahoma"/>
          <w:i/>
          <w:iCs/>
          <w:color w:val="58595B"/>
          <w:sz w:val="17"/>
          <w:szCs w:val="17"/>
          <w:bdr w:val="none" w:sz="0" w:space="0" w:color="auto" w:frame="1"/>
          <w:lang w:eastAsia="pt-BR"/>
        </w:rPr>
        <w:br/>
        <w:t>§ 7º As sanções restritivas de direito são:</w:t>
      </w:r>
      <w:r w:rsidRPr="00E60BEA">
        <w:rPr>
          <w:rFonts w:ascii="inherit" w:eastAsia="Times New Roman" w:hAnsi="inherit" w:cs="Tahoma"/>
          <w:i/>
          <w:iCs/>
          <w:color w:val="58595B"/>
          <w:sz w:val="17"/>
          <w:szCs w:val="17"/>
          <w:bdr w:val="none" w:sz="0" w:space="0" w:color="auto" w:frame="1"/>
          <w:lang w:eastAsia="pt-BR"/>
        </w:rPr>
        <w:br/>
        <w:t>I – suspensão de registro, licença ou autorização;</w:t>
      </w:r>
      <w:r w:rsidRPr="00E60BEA">
        <w:rPr>
          <w:rFonts w:ascii="inherit" w:eastAsia="Times New Roman" w:hAnsi="inherit" w:cs="Tahoma"/>
          <w:i/>
          <w:iCs/>
          <w:color w:val="58595B"/>
          <w:sz w:val="17"/>
          <w:szCs w:val="17"/>
          <w:bdr w:val="none" w:sz="0" w:space="0" w:color="auto" w:frame="1"/>
          <w:lang w:eastAsia="pt-BR"/>
        </w:rPr>
        <w:br/>
        <w:t>II – cancelamento de registro, licença ou autorização;</w:t>
      </w:r>
      <w:r w:rsidRPr="00E60BEA">
        <w:rPr>
          <w:rFonts w:ascii="inherit" w:eastAsia="Times New Roman" w:hAnsi="inherit" w:cs="Tahoma"/>
          <w:i/>
          <w:iCs/>
          <w:color w:val="58595B"/>
          <w:sz w:val="17"/>
          <w:szCs w:val="17"/>
          <w:bdr w:val="none" w:sz="0" w:space="0" w:color="auto" w:frame="1"/>
          <w:lang w:eastAsia="pt-BR"/>
        </w:rPr>
        <w:br/>
        <w:t>III – perda ou restrição de incentivos e benefícios fiscais;</w:t>
      </w:r>
      <w:r w:rsidRPr="00E60BEA">
        <w:rPr>
          <w:rFonts w:ascii="inherit" w:eastAsia="Times New Roman" w:hAnsi="inherit" w:cs="Tahoma"/>
          <w:i/>
          <w:iCs/>
          <w:color w:val="58595B"/>
          <w:sz w:val="17"/>
          <w:szCs w:val="17"/>
          <w:bdr w:val="none" w:sz="0" w:space="0" w:color="auto" w:frame="1"/>
          <w:lang w:eastAsia="pt-BR"/>
        </w:rPr>
        <w:br/>
        <w:t>IV – perda ou suspensão da participação em linhas de financiamento em estabelecimentos oficiais de crédito;</w:t>
      </w:r>
      <w:r w:rsidRPr="00E60BEA">
        <w:rPr>
          <w:rFonts w:ascii="inherit" w:eastAsia="Times New Roman" w:hAnsi="inherit" w:cs="Tahoma"/>
          <w:i/>
          <w:iCs/>
          <w:color w:val="58595B"/>
          <w:sz w:val="17"/>
          <w:szCs w:val="17"/>
          <w:bdr w:val="none" w:sz="0" w:space="0" w:color="auto" w:frame="1"/>
          <w:lang w:eastAsia="pt-BR"/>
        </w:rPr>
        <w:br/>
        <w:t>V – proibição de contratar com a Administração Pública pelo período de até três anos.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17.</w:t>
      </w:r>
      <w:r w:rsidRPr="00E60BEA">
        <w:rPr>
          <w:rFonts w:ascii="inherit" w:eastAsia="Times New Roman" w:hAnsi="inherit" w:cs="Tahoma"/>
          <w:i/>
          <w:iCs/>
          <w:color w:val="58595B"/>
          <w:sz w:val="17"/>
          <w:szCs w:val="17"/>
          <w:bdr w:val="none" w:sz="0" w:space="0" w:color="auto" w:frame="1"/>
          <w:lang w:eastAsia="pt-BR"/>
        </w:rPr>
        <w:t> Os valores arrecadados em razão da aplicação de multas por infrações ao disposto nesta Lei serão revertidos ao Fundo Único de Meio Ambiente do Distrito Federal, criado pela Lei nº 41, de 13 de setembro de 1989.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18.</w:t>
      </w:r>
      <w:r w:rsidRPr="00E60BEA">
        <w:rPr>
          <w:rFonts w:ascii="inherit" w:eastAsia="Times New Roman" w:hAnsi="inherit" w:cs="Tahoma"/>
          <w:i/>
          <w:iCs/>
          <w:color w:val="58595B"/>
          <w:sz w:val="17"/>
          <w:szCs w:val="17"/>
          <w:bdr w:val="none" w:sz="0" w:space="0" w:color="auto" w:frame="1"/>
          <w:lang w:eastAsia="pt-BR"/>
        </w:rPr>
        <w:t> Para efeito das aplicações das penalidades, as infrações aos dispositivos desta Lei classificam-se em: </w:t>
      </w:r>
      <w:r w:rsidRPr="00E60BEA">
        <w:rPr>
          <w:rFonts w:ascii="inherit" w:eastAsia="Times New Roman" w:hAnsi="inherit" w:cs="Tahoma"/>
          <w:i/>
          <w:iCs/>
          <w:color w:val="58595B"/>
          <w:sz w:val="17"/>
          <w:szCs w:val="17"/>
          <w:bdr w:val="none" w:sz="0" w:space="0" w:color="auto" w:frame="1"/>
          <w:lang w:eastAsia="pt-BR"/>
        </w:rPr>
        <w:br/>
        <w:t>I – leves: aquelas em que o infrator for beneficiado por circunstâncias atenuantes;</w:t>
      </w:r>
      <w:r w:rsidRPr="00E60BEA">
        <w:rPr>
          <w:rFonts w:ascii="inherit" w:eastAsia="Times New Roman" w:hAnsi="inherit" w:cs="Tahoma"/>
          <w:i/>
          <w:iCs/>
          <w:color w:val="58595B"/>
          <w:sz w:val="17"/>
          <w:szCs w:val="17"/>
          <w:bdr w:val="none" w:sz="0" w:space="0" w:color="auto" w:frame="1"/>
          <w:lang w:eastAsia="pt-BR"/>
        </w:rPr>
        <w:br/>
        <w:t>II – graves: aquelas em que for verificada uma circunstância agravante;</w:t>
      </w:r>
      <w:r w:rsidRPr="00E60BEA">
        <w:rPr>
          <w:rFonts w:ascii="inherit" w:eastAsia="Times New Roman" w:hAnsi="inherit" w:cs="Tahoma"/>
          <w:i/>
          <w:iCs/>
          <w:color w:val="58595B"/>
          <w:sz w:val="17"/>
          <w:szCs w:val="17"/>
          <w:bdr w:val="none" w:sz="0" w:space="0" w:color="auto" w:frame="1"/>
          <w:lang w:eastAsia="pt-BR"/>
        </w:rPr>
        <w:br/>
        <w:t>III – muito graves: aquelas em que forem verificadas duas circunstâncias agravantes;</w:t>
      </w:r>
      <w:r w:rsidRPr="00E60BEA">
        <w:rPr>
          <w:rFonts w:ascii="inherit" w:eastAsia="Times New Roman" w:hAnsi="inherit" w:cs="Tahoma"/>
          <w:i/>
          <w:iCs/>
          <w:color w:val="58595B"/>
          <w:sz w:val="17"/>
          <w:szCs w:val="17"/>
          <w:bdr w:val="none" w:sz="0" w:space="0" w:color="auto" w:frame="1"/>
          <w:lang w:eastAsia="pt-BR"/>
        </w:rPr>
        <w:br/>
        <w:t>IV – gravíssimas: aquelas em que for verificada a existência de três ou mais circunstâncias agravantes ou em casos de reincidência.</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19.</w:t>
      </w:r>
      <w:r w:rsidRPr="00E60BEA">
        <w:rPr>
          <w:rFonts w:ascii="inherit" w:eastAsia="Times New Roman" w:hAnsi="inherit" w:cs="Tahoma"/>
          <w:i/>
          <w:iCs/>
          <w:color w:val="58595B"/>
          <w:sz w:val="17"/>
          <w:szCs w:val="17"/>
          <w:bdr w:val="none" w:sz="0" w:space="0" w:color="auto" w:frame="1"/>
          <w:lang w:eastAsia="pt-BR"/>
        </w:rPr>
        <w:t> A pena de multa consiste no pagamento dos valores correspondentes seguintes:</w:t>
      </w:r>
      <w:r w:rsidRPr="00E60BEA">
        <w:rPr>
          <w:rFonts w:ascii="inherit" w:eastAsia="Times New Roman" w:hAnsi="inherit" w:cs="Tahoma"/>
          <w:i/>
          <w:iCs/>
          <w:color w:val="58595B"/>
          <w:sz w:val="17"/>
          <w:szCs w:val="17"/>
          <w:bdr w:val="none" w:sz="0" w:space="0" w:color="auto" w:frame="1"/>
          <w:lang w:eastAsia="pt-BR"/>
        </w:rPr>
        <w:br/>
        <w:t>I – nas infrações leves, de R$200,00 (duzentos reais) a R$2.000,00 (dois mil reais);</w:t>
      </w:r>
      <w:r w:rsidRPr="00E60BEA">
        <w:rPr>
          <w:rFonts w:ascii="inherit" w:eastAsia="Times New Roman" w:hAnsi="inherit" w:cs="Tahoma"/>
          <w:i/>
          <w:iCs/>
          <w:color w:val="58595B"/>
          <w:sz w:val="17"/>
          <w:szCs w:val="17"/>
          <w:bdr w:val="none" w:sz="0" w:space="0" w:color="auto" w:frame="1"/>
          <w:lang w:eastAsia="pt-BR"/>
        </w:rPr>
        <w:br/>
        <w:t>II – nas infrações graves, de R$2.001,00 (dois mil e um reais) a R$5.000,00 (cinco mil reais);</w:t>
      </w:r>
      <w:r w:rsidRPr="00E60BEA">
        <w:rPr>
          <w:rFonts w:ascii="inherit" w:eastAsia="Times New Roman" w:hAnsi="inherit" w:cs="Tahoma"/>
          <w:i/>
          <w:iCs/>
          <w:color w:val="58595B"/>
          <w:sz w:val="17"/>
          <w:szCs w:val="17"/>
          <w:bdr w:val="none" w:sz="0" w:space="0" w:color="auto" w:frame="1"/>
          <w:lang w:eastAsia="pt-BR"/>
        </w:rPr>
        <w:br/>
        <w:t>III – nas infrações muito graves, de R$5.001,00 (cinco mil e um reais) a R$10.000,00 (dez mil reais);</w:t>
      </w:r>
      <w:r w:rsidRPr="00E60BEA">
        <w:rPr>
          <w:rFonts w:ascii="inherit" w:eastAsia="Times New Roman" w:hAnsi="inherit" w:cs="Tahoma"/>
          <w:i/>
          <w:iCs/>
          <w:color w:val="58595B"/>
          <w:sz w:val="17"/>
          <w:szCs w:val="17"/>
          <w:bdr w:val="none" w:sz="0" w:space="0" w:color="auto" w:frame="1"/>
          <w:lang w:eastAsia="pt-BR"/>
        </w:rPr>
        <w:br/>
        <w:t>IV – nas infrações gravíssimas, de R$10.001,00 (dez mil e um reais) a R$20.000,00 (vinte mil reais).</w:t>
      </w:r>
      <w:r w:rsidRPr="00E60BEA">
        <w:rPr>
          <w:rFonts w:ascii="inherit" w:eastAsia="Times New Roman" w:hAnsi="inherit" w:cs="Tahoma"/>
          <w:i/>
          <w:iCs/>
          <w:color w:val="58595B"/>
          <w:sz w:val="17"/>
          <w:szCs w:val="17"/>
          <w:bdr w:val="none" w:sz="0" w:space="0" w:color="auto" w:frame="1"/>
          <w:lang w:eastAsia="pt-BR"/>
        </w:rPr>
        <w:br/>
        <w:t>Parágrafo único. A multa poderá ser reduzida em até noventa por cento do seu valor se o infrator se comprometer, mediante acordo escrito, a tomar as medidas efetivas necessárias para evitar a continuidade dos fatos que lhe deram origem, cassando-se a redução, com o conseqüente pagamento integral da multa, se essas medidas ou seu cronograma não forem cumpridos.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20.</w:t>
      </w:r>
      <w:r w:rsidRPr="00E60BEA">
        <w:rPr>
          <w:rFonts w:ascii="inherit" w:eastAsia="Times New Roman" w:hAnsi="inherit" w:cs="Tahoma"/>
          <w:i/>
          <w:iCs/>
          <w:color w:val="58595B"/>
          <w:sz w:val="17"/>
          <w:szCs w:val="17"/>
          <w:bdr w:val="none" w:sz="0" w:space="0" w:color="auto" w:frame="1"/>
          <w:lang w:eastAsia="pt-BR"/>
        </w:rPr>
        <w:t> Para imposição da pena e gradação da multa, a autoridade fiscalizadora ambiental observará: </w:t>
      </w:r>
      <w:r w:rsidRPr="00E60BEA">
        <w:rPr>
          <w:rFonts w:ascii="inherit" w:eastAsia="Times New Roman" w:hAnsi="inherit" w:cs="Tahoma"/>
          <w:i/>
          <w:iCs/>
          <w:color w:val="58595B"/>
          <w:sz w:val="17"/>
          <w:szCs w:val="17"/>
          <w:bdr w:val="none" w:sz="0" w:space="0" w:color="auto" w:frame="1"/>
          <w:lang w:eastAsia="pt-BR"/>
        </w:rPr>
        <w:br/>
        <w:t>I – as circunstâncias atenuantes e agravantes;</w:t>
      </w:r>
      <w:r w:rsidRPr="00E60BEA">
        <w:rPr>
          <w:rFonts w:ascii="inherit" w:eastAsia="Times New Roman" w:hAnsi="inherit" w:cs="Tahoma"/>
          <w:i/>
          <w:iCs/>
          <w:color w:val="58595B"/>
          <w:sz w:val="17"/>
          <w:szCs w:val="17"/>
          <w:bdr w:val="none" w:sz="0" w:space="0" w:color="auto" w:frame="1"/>
          <w:lang w:eastAsia="pt-BR"/>
        </w:rPr>
        <w:br/>
        <w:t>II – a gravidade do fato, tendo em vista as suas conseqüências para a saúde e o meio ambiente;</w:t>
      </w:r>
      <w:r w:rsidRPr="00E60BEA">
        <w:rPr>
          <w:rFonts w:ascii="inherit" w:eastAsia="Times New Roman" w:hAnsi="inherit" w:cs="Tahoma"/>
          <w:i/>
          <w:iCs/>
          <w:color w:val="58595B"/>
          <w:sz w:val="17"/>
          <w:szCs w:val="17"/>
          <w:bdr w:val="none" w:sz="0" w:space="0" w:color="auto" w:frame="1"/>
          <w:lang w:eastAsia="pt-BR"/>
        </w:rPr>
        <w:br/>
        <w:t>III – a natureza da infração e suas conseqüências;</w:t>
      </w:r>
      <w:r w:rsidRPr="00E60BEA">
        <w:rPr>
          <w:rFonts w:ascii="inherit" w:eastAsia="Times New Roman" w:hAnsi="inherit" w:cs="Tahoma"/>
          <w:i/>
          <w:iCs/>
          <w:color w:val="58595B"/>
          <w:sz w:val="17"/>
          <w:szCs w:val="17"/>
          <w:bdr w:val="none" w:sz="0" w:space="0" w:color="auto" w:frame="1"/>
          <w:lang w:eastAsia="pt-BR"/>
        </w:rPr>
        <w:br/>
        <w:t>IV – o porte do empreendimento;</w:t>
      </w:r>
      <w:r w:rsidRPr="00E60BEA">
        <w:rPr>
          <w:rFonts w:ascii="inherit" w:eastAsia="Times New Roman" w:hAnsi="inherit" w:cs="Tahoma"/>
          <w:i/>
          <w:iCs/>
          <w:color w:val="58595B"/>
          <w:sz w:val="17"/>
          <w:szCs w:val="17"/>
          <w:bdr w:val="none" w:sz="0" w:space="0" w:color="auto" w:frame="1"/>
          <w:lang w:eastAsia="pt-BR"/>
        </w:rPr>
        <w:br/>
        <w:t>V – os antecedentes do infrator quanto às normas ambientais;</w:t>
      </w:r>
      <w:r w:rsidRPr="00E60BEA">
        <w:rPr>
          <w:rFonts w:ascii="inherit" w:eastAsia="Times New Roman" w:hAnsi="inherit" w:cs="Tahoma"/>
          <w:i/>
          <w:iCs/>
          <w:color w:val="58595B"/>
          <w:sz w:val="17"/>
          <w:szCs w:val="17"/>
          <w:bdr w:val="none" w:sz="0" w:space="0" w:color="auto" w:frame="1"/>
          <w:lang w:eastAsia="pt-BR"/>
        </w:rPr>
        <w:br/>
        <w:t>VI – a capacidade econômica do infrator.</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21.</w:t>
      </w:r>
      <w:r w:rsidRPr="00E60BEA">
        <w:rPr>
          <w:rFonts w:ascii="inherit" w:eastAsia="Times New Roman" w:hAnsi="inherit" w:cs="Tahoma"/>
          <w:i/>
          <w:iCs/>
          <w:color w:val="58595B"/>
          <w:sz w:val="17"/>
          <w:szCs w:val="17"/>
          <w:bdr w:val="none" w:sz="0" w:space="0" w:color="auto" w:frame="1"/>
          <w:lang w:eastAsia="pt-BR"/>
        </w:rPr>
        <w:t> São circunstâncias atenuantes:</w:t>
      </w:r>
      <w:r w:rsidRPr="00E60BEA">
        <w:rPr>
          <w:rFonts w:ascii="inherit" w:eastAsia="Times New Roman" w:hAnsi="inherit" w:cs="Tahoma"/>
          <w:i/>
          <w:iCs/>
          <w:color w:val="58595B"/>
          <w:sz w:val="17"/>
          <w:szCs w:val="17"/>
          <w:bdr w:val="none" w:sz="0" w:space="0" w:color="auto" w:frame="1"/>
          <w:lang w:eastAsia="pt-BR"/>
        </w:rPr>
        <w:br/>
        <w:t>I – menor grau de compreensão e escolaridade do infrator;</w:t>
      </w:r>
      <w:r w:rsidRPr="00E60BEA">
        <w:rPr>
          <w:rFonts w:ascii="inherit" w:eastAsia="Times New Roman" w:hAnsi="inherit" w:cs="Tahoma"/>
          <w:i/>
          <w:iCs/>
          <w:color w:val="58595B"/>
          <w:sz w:val="17"/>
          <w:szCs w:val="17"/>
          <w:bdr w:val="none" w:sz="0" w:space="0" w:color="auto" w:frame="1"/>
          <w:lang w:eastAsia="pt-BR"/>
        </w:rPr>
        <w:br/>
        <w:t>II – arrependimento eficaz do infrator, manifestado pela espontânea reparação do dano ou limitação significativa da poluição ocorrida;</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i/>
          <w:iCs/>
          <w:color w:val="58595B"/>
          <w:sz w:val="17"/>
          <w:szCs w:val="17"/>
          <w:bdr w:val="none" w:sz="0" w:space="0" w:color="auto" w:frame="1"/>
          <w:lang w:eastAsia="pt-BR"/>
        </w:rPr>
        <w:lastRenderedPageBreak/>
        <w:t>III – ser o infrator primário e a falta cometida ser de natureza leve;</w:t>
      </w:r>
      <w:r w:rsidRPr="00E60BEA">
        <w:rPr>
          <w:rFonts w:ascii="inherit" w:eastAsia="Times New Roman" w:hAnsi="inherit" w:cs="Tahoma"/>
          <w:i/>
          <w:iCs/>
          <w:color w:val="58595B"/>
          <w:sz w:val="17"/>
          <w:szCs w:val="17"/>
          <w:bdr w:val="none" w:sz="0" w:space="0" w:color="auto" w:frame="1"/>
          <w:lang w:eastAsia="pt-BR"/>
        </w:rPr>
        <w:br/>
        <w:t>IV – desenvolver o infrator atividades sociais ou beneficentes.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22.</w:t>
      </w:r>
      <w:r w:rsidRPr="00E60BEA">
        <w:rPr>
          <w:rFonts w:ascii="inherit" w:eastAsia="Times New Roman" w:hAnsi="inherit" w:cs="Tahoma"/>
          <w:i/>
          <w:iCs/>
          <w:color w:val="58595B"/>
          <w:sz w:val="17"/>
          <w:szCs w:val="17"/>
          <w:bdr w:val="none" w:sz="0" w:space="0" w:color="auto" w:frame="1"/>
          <w:lang w:eastAsia="pt-BR"/>
        </w:rPr>
        <w:t> São circunstâncias agravantes:</w:t>
      </w:r>
      <w:r w:rsidRPr="00E60BEA">
        <w:rPr>
          <w:rFonts w:ascii="inherit" w:eastAsia="Times New Roman" w:hAnsi="inherit" w:cs="Tahoma"/>
          <w:i/>
          <w:iCs/>
          <w:color w:val="58595B"/>
          <w:sz w:val="17"/>
          <w:szCs w:val="17"/>
          <w:bdr w:val="none" w:sz="0" w:space="0" w:color="auto" w:frame="1"/>
          <w:lang w:eastAsia="pt-BR"/>
        </w:rPr>
        <w:br/>
        <w:t>I – ser o infrator reincidente ou cometer a infração de forma continuada;</w:t>
      </w:r>
      <w:r w:rsidRPr="00E60BEA">
        <w:rPr>
          <w:rFonts w:ascii="inherit" w:eastAsia="Times New Roman" w:hAnsi="inherit" w:cs="Tahoma"/>
          <w:i/>
          <w:iCs/>
          <w:color w:val="58595B"/>
          <w:sz w:val="17"/>
          <w:szCs w:val="17"/>
          <w:bdr w:val="none" w:sz="0" w:space="0" w:color="auto" w:frame="1"/>
          <w:lang w:eastAsia="pt-BR"/>
        </w:rPr>
        <w:br/>
        <w:t>II – o infrator coagir outrem para a execução material da infração;</w:t>
      </w:r>
      <w:r w:rsidRPr="00E60BEA">
        <w:rPr>
          <w:rFonts w:ascii="inherit" w:eastAsia="Times New Roman" w:hAnsi="inherit" w:cs="Tahoma"/>
          <w:i/>
          <w:iCs/>
          <w:color w:val="58595B"/>
          <w:sz w:val="17"/>
          <w:szCs w:val="17"/>
          <w:bdr w:val="none" w:sz="0" w:space="0" w:color="auto" w:frame="1"/>
          <w:lang w:eastAsia="pt-BR"/>
        </w:rPr>
        <w:br/>
        <w:t>III – ter a infração conseqüências graves à saúde pública ou ao meio ambiente;</w:t>
      </w:r>
      <w:r w:rsidRPr="00E60BEA">
        <w:rPr>
          <w:rFonts w:ascii="inherit" w:eastAsia="Times New Roman" w:hAnsi="inherit" w:cs="Tahoma"/>
          <w:i/>
          <w:iCs/>
          <w:color w:val="58595B"/>
          <w:sz w:val="17"/>
          <w:szCs w:val="17"/>
          <w:bdr w:val="none" w:sz="0" w:space="0" w:color="auto" w:frame="1"/>
          <w:lang w:eastAsia="pt-BR"/>
        </w:rPr>
        <w:br/>
        <w:t>IV – se, tendo conhecimento do ato lesivo à saúde pública ou ao meio ambiente, o infrator deixar de tomar as providências de sua alçada para evitá-lo;</w:t>
      </w:r>
      <w:r w:rsidRPr="00E60BEA">
        <w:rPr>
          <w:rFonts w:ascii="inherit" w:eastAsia="Times New Roman" w:hAnsi="inherit" w:cs="Tahoma"/>
          <w:i/>
          <w:iCs/>
          <w:color w:val="58595B"/>
          <w:sz w:val="17"/>
          <w:szCs w:val="17"/>
          <w:bdr w:val="none" w:sz="0" w:space="0" w:color="auto" w:frame="1"/>
          <w:lang w:eastAsia="pt-BR"/>
        </w:rPr>
        <w:br/>
        <w:t>V – ter o infrator agido com dolo direto ou eventual;</w:t>
      </w:r>
      <w:r w:rsidRPr="00E60BEA">
        <w:rPr>
          <w:rFonts w:ascii="inherit" w:eastAsia="Times New Roman" w:hAnsi="inherit" w:cs="Tahoma"/>
          <w:i/>
          <w:iCs/>
          <w:color w:val="58595B"/>
          <w:sz w:val="17"/>
          <w:szCs w:val="17"/>
          <w:bdr w:val="none" w:sz="0" w:space="0" w:color="auto" w:frame="1"/>
          <w:lang w:eastAsia="pt-BR"/>
        </w:rPr>
        <w:br/>
        <w:t>VI – a concorrência de efeitos sobre a propriedade alheia.</w:t>
      </w:r>
      <w:r w:rsidRPr="00E60BEA">
        <w:rPr>
          <w:rFonts w:ascii="inherit" w:eastAsia="Times New Roman" w:hAnsi="inherit" w:cs="Tahoma"/>
          <w:i/>
          <w:iCs/>
          <w:color w:val="58595B"/>
          <w:sz w:val="17"/>
          <w:szCs w:val="17"/>
          <w:bdr w:val="none" w:sz="0" w:space="0" w:color="auto" w:frame="1"/>
          <w:lang w:eastAsia="pt-BR"/>
        </w:rPr>
        <w:br/>
        <w:t>§ 1º A reincidência verifica-se quando o agente comete nova infração do mesmo tipo.</w:t>
      </w:r>
      <w:r w:rsidRPr="00E60BEA">
        <w:rPr>
          <w:rFonts w:ascii="inherit" w:eastAsia="Times New Roman" w:hAnsi="inherit" w:cs="Tahoma"/>
          <w:i/>
          <w:iCs/>
          <w:color w:val="58595B"/>
          <w:sz w:val="17"/>
          <w:szCs w:val="17"/>
          <w:bdr w:val="none" w:sz="0" w:space="0" w:color="auto" w:frame="1"/>
          <w:lang w:eastAsia="pt-BR"/>
        </w:rPr>
        <w:br/>
        <w:t>§ 2º No caso de infração continuada caracterizada pela repetição da ação ou omissão inicialmente punida, a penalidade de multa poderá ser aplicada diariamente até cessar a infração.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23.</w:t>
      </w:r>
      <w:r w:rsidRPr="00E60BEA">
        <w:rPr>
          <w:rFonts w:ascii="inherit" w:eastAsia="Times New Roman" w:hAnsi="inherit" w:cs="Tahoma"/>
          <w:i/>
          <w:iCs/>
          <w:color w:val="58595B"/>
          <w:sz w:val="17"/>
          <w:szCs w:val="17"/>
          <w:bdr w:val="none" w:sz="0" w:space="0" w:color="auto" w:frame="1"/>
          <w:lang w:eastAsia="pt-BR"/>
        </w:rPr>
        <w:t> A autoridade fiscalizadora que tiver conhecimento de infrações a esta Lei, diretamente ou mediante denúncia, é obrigada a promover a sua apuração imediata, sob pena de co-responsabilidade.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CAPÍTULO VII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DO PROCESSO ADMINISTRATIVO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24. </w:t>
      </w:r>
      <w:r w:rsidRPr="00E60BEA">
        <w:rPr>
          <w:rFonts w:ascii="inherit" w:eastAsia="Times New Roman" w:hAnsi="inherit" w:cs="Tahoma"/>
          <w:i/>
          <w:iCs/>
          <w:color w:val="58595B"/>
          <w:sz w:val="17"/>
          <w:szCs w:val="17"/>
          <w:bdr w:val="none" w:sz="0" w:space="0" w:color="auto" w:frame="1"/>
          <w:lang w:eastAsia="pt-BR"/>
        </w:rPr>
        <w:t>As infrações ao disposto nesta Lei serão apuradas em processo administrativo próprio, iniciado com a lavratura do auto de infração, observados os ritos e prazos estabelecidos nos arts. 56 a 67 da Lei nº 41, de 13 de setembro de 1989.</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CAPÍTULO VIII</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DISPOSIÇÕES FINAIS</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25.</w:t>
      </w:r>
      <w:r w:rsidRPr="00E60BEA">
        <w:rPr>
          <w:rFonts w:ascii="inherit" w:eastAsia="Times New Roman" w:hAnsi="inherit" w:cs="Tahoma"/>
          <w:i/>
          <w:iCs/>
          <w:color w:val="58595B"/>
          <w:sz w:val="17"/>
          <w:szCs w:val="17"/>
          <w:bdr w:val="none" w:sz="0" w:space="0" w:color="auto" w:frame="1"/>
          <w:lang w:eastAsia="pt-BR"/>
        </w:rPr>
        <w:t> (VETADO).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26.</w:t>
      </w:r>
      <w:r w:rsidRPr="00E60BEA">
        <w:rPr>
          <w:rFonts w:ascii="inherit" w:eastAsia="Times New Roman" w:hAnsi="inherit" w:cs="Tahoma"/>
          <w:i/>
          <w:iCs/>
          <w:color w:val="58595B"/>
          <w:sz w:val="17"/>
          <w:szCs w:val="17"/>
          <w:bdr w:val="none" w:sz="0" w:space="0" w:color="auto" w:frame="1"/>
          <w:lang w:eastAsia="pt-BR"/>
        </w:rPr>
        <w:t> (VETADO).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27.</w:t>
      </w:r>
      <w:r w:rsidRPr="00E60BEA">
        <w:rPr>
          <w:rFonts w:ascii="inherit" w:eastAsia="Times New Roman" w:hAnsi="inherit" w:cs="Tahoma"/>
          <w:i/>
          <w:iCs/>
          <w:color w:val="58595B"/>
          <w:sz w:val="17"/>
          <w:szCs w:val="17"/>
          <w:bdr w:val="none" w:sz="0" w:space="0" w:color="auto" w:frame="1"/>
          <w:lang w:eastAsia="pt-BR"/>
        </w:rPr>
        <w:t> Os padrões adotados nesta Lei devem ser revistos a cada dois anos, a fim de incorporar novos conhecimentos nacionais e internacionais, quando necessário.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28.</w:t>
      </w:r>
      <w:r w:rsidRPr="00E60BEA">
        <w:rPr>
          <w:rFonts w:ascii="inherit" w:eastAsia="Times New Roman" w:hAnsi="inherit" w:cs="Tahoma"/>
          <w:i/>
          <w:iCs/>
          <w:color w:val="58595B"/>
          <w:sz w:val="17"/>
          <w:szCs w:val="17"/>
          <w:bdr w:val="none" w:sz="0" w:space="0" w:color="auto" w:frame="1"/>
          <w:lang w:eastAsia="pt-BR"/>
        </w:rPr>
        <w:t> Escolas, creches, bibliotecas, hospitais, casas de saúde ou similares instalados em áreas nas quais os níveis de pressão sonora ultrapassem os limites estabelecidos nesta Lei têm o prazo de cinco anos para se adequar ao disposto no art. 7º, § 3º, desta Lei.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29.</w:t>
      </w:r>
      <w:r w:rsidRPr="00E60BEA">
        <w:rPr>
          <w:rFonts w:ascii="inherit" w:eastAsia="Times New Roman" w:hAnsi="inherit" w:cs="Tahoma"/>
          <w:i/>
          <w:iCs/>
          <w:color w:val="58595B"/>
          <w:sz w:val="17"/>
          <w:szCs w:val="17"/>
          <w:bdr w:val="none" w:sz="0" w:space="0" w:color="auto" w:frame="1"/>
          <w:lang w:eastAsia="pt-BR"/>
        </w:rPr>
        <w:t> Os estabelecimentos comerciais em que os níveis de pressão sonora ultrapassem 80dB(A) em ambiente interno deverão informar aos usuários os possíveis danos à saúde humana relacionados à poluição sonora. </w:t>
      </w:r>
      <w:r w:rsidRPr="00E60BEA">
        <w:rPr>
          <w:rFonts w:ascii="inherit" w:eastAsia="Times New Roman" w:hAnsi="inherit" w:cs="Tahoma"/>
          <w:i/>
          <w:iCs/>
          <w:color w:val="58595B"/>
          <w:sz w:val="17"/>
          <w:szCs w:val="17"/>
          <w:bdr w:val="none" w:sz="0" w:space="0" w:color="auto" w:frame="1"/>
          <w:lang w:eastAsia="pt-BR"/>
        </w:rPr>
        <w:br/>
        <w:t>Parágrafo único. As informações deverão constar em placa afixada em local de visibilidade imediata, com os dizeres explicitados na Tabela III do Anexo III.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30.</w:t>
      </w:r>
      <w:r w:rsidRPr="00E60BEA">
        <w:rPr>
          <w:rFonts w:ascii="inherit" w:eastAsia="Times New Roman" w:hAnsi="inherit" w:cs="Tahoma"/>
          <w:i/>
          <w:iCs/>
          <w:color w:val="58595B"/>
          <w:sz w:val="17"/>
          <w:szCs w:val="17"/>
          <w:bdr w:val="none" w:sz="0" w:space="0" w:color="auto" w:frame="1"/>
          <w:lang w:eastAsia="pt-BR"/>
        </w:rPr>
        <w:t> O Poder Executivo regulamentará esta Lei no prazo de trinta dias, contados de sua publicação. </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31.</w:t>
      </w:r>
      <w:r w:rsidRPr="00E60BEA">
        <w:rPr>
          <w:rFonts w:ascii="inherit" w:eastAsia="Times New Roman" w:hAnsi="inherit" w:cs="Tahoma"/>
          <w:i/>
          <w:iCs/>
          <w:color w:val="58595B"/>
          <w:sz w:val="17"/>
          <w:szCs w:val="17"/>
          <w:bdr w:val="none" w:sz="0" w:space="0" w:color="auto" w:frame="1"/>
          <w:lang w:eastAsia="pt-BR"/>
        </w:rPr>
        <w:t> Esta Lei entra em vigor na data de sua publicação.</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Art. 32.</w:t>
      </w:r>
      <w:r w:rsidRPr="00E60BEA">
        <w:rPr>
          <w:rFonts w:ascii="inherit" w:eastAsia="Times New Roman" w:hAnsi="inherit" w:cs="Tahoma"/>
          <w:i/>
          <w:iCs/>
          <w:color w:val="58595B"/>
          <w:sz w:val="17"/>
          <w:szCs w:val="17"/>
          <w:bdr w:val="none" w:sz="0" w:space="0" w:color="auto" w:frame="1"/>
          <w:lang w:eastAsia="pt-BR"/>
        </w:rPr>
        <w:t> Revogam-se as disposições em contrário, em especial a Lei nº 380, de 11 de dezembro de 1992, e a Lei nº 1.065, de 6 de maio de 1996.</w:t>
      </w:r>
      <w:r w:rsidRPr="00E60BEA">
        <w:rPr>
          <w:rFonts w:ascii="inherit" w:eastAsia="Times New Roman" w:hAnsi="inherit" w:cs="Tahoma"/>
          <w:i/>
          <w:iCs/>
          <w:color w:val="58595B"/>
          <w:sz w:val="17"/>
          <w:szCs w:val="17"/>
          <w:bdr w:val="none" w:sz="0" w:space="0" w:color="auto" w:frame="1"/>
          <w:lang w:eastAsia="pt-BR"/>
        </w:rPr>
        <w:br/>
        <w:t>Brasília, 30 de janeiro de 2008</w:t>
      </w:r>
      <w:r w:rsidRPr="00E60BEA">
        <w:rPr>
          <w:rFonts w:ascii="inherit" w:eastAsia="Times New Roman" w:hAnsi="inherit" w:cs="Tahoma"/>
          <w:i/>
          <w:iCs/>
          <w:color w:val="58595B"/>
          <w:sz w:val="17"/>
          <w:szCs w:val="17"/>
          <w:bdr w:val="none" w:sz="0" w:space="0" w:color="auto" w:frame="1"/>
          <w:lang w:eastAsia="pt-BR"/>
        </w:rPr>
        <w:br/>
        <w:t>120º da República e 48º de Brasília</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PAULO OCTÁVIO ALVES PEREIRA</w:t>
      </w:r>
      <w:r w:rsidRPr="00E60BEA">
        <w:rPr>
          <w:rFonts w:ascii="inherit" w:eastAsia="Times New Roman" w:hAnsi="inherit" w:cs="Tahoma"/>
          <w:i/>
          <w:iCs/>
          <w:color w:val="58595B"/>
          <w:sz w:val="17"/>
          <w:szCs w:val="17"/>
          <w:bdr w:val="none" w:sz="0" w:space="0" w:color="auto" w:frame="1"/>
          <w:lang w:eastAsia="pt-BR"/>
        </w:rPr>
        <w:br/>
        <w:t>Este texto não substitui o publicado no Diário Oficial do Distrito Federal, de 1º/2/2008, e republicado em 12/3/2008.</w:t>
      </w:r>
      <w:r w:rsidRPr="00E60BEA">
        <w:rPr>
          <w:rFonts w:ascii="inherit" w:eastAsia="Times New Roman" w:hAnsi="inherit" w:cs="Tahoma"/>
          <w:i/>
          <w:iCs/>
          <w:color w:val="58595B"/>
          <w:sz w:val="17"/>
          <w:szCs w:val="17"/>
          <w:bdr w:val="none" w:sz="0" w:space="0" w:color="auto" w:frame="1"/>
          <w:lang w:eastAsia="pt-BR"/>
        </w:rPr>
        <w:br/>
      </w:r>
      <w:r w:rsidRPr="00E60BEA">
        <w:rPr>
          <w:rFonts w:ascii="inherit" w:eastAsia="Times New Roman" w:hAnsi="inherit" w:cs="Tahoma"/>
          <w:b/>
          <w:bCs/>
          <w:i/>
          <w:iCs/>
          <w:color w:val="58595B"/>
          <w:sz w:val="17"/>
          <w:szCs w:val="17"/>
          <w:bdr w:val="none" w:sz="0" w:space="0" w:color="auto" w:frame="1"/>
          <w:lang w:eastAsia="pt-BR"/>
        </w:rPr>
        <w:t>ANEXO I</w:t>
      </w:r>
      <w:r w:rsidRPr="00E60BEA">
        <w:rPr>
          <w:rFonts w:ascii="inherit" w:eastAsia="Times New Roman" w:hAnsi="inherit" w:cs="Tahoma"/>
          <w:i/>
          <w:iCs/>
          <w:color w:val="58595B"/>
          <w:sz w:val="17"/>
          <w:szCs w:val="17"/>
          <w:bdr w:val="none" w:sz="0" w:space="0" w:color="auto" w:frame="1"/>
          <w:lang w:eastAsia="pt-BR"/>
        </w:rPr>
        <w:br/>
        <w:t>Tabela I</w:t>
      </w:r>
      <w:r w:rsidRPr="00E60BEA">
        <w:rPr>
          <w:rFonts w:ascii="inherit" w:eastAsia="Times New Roman" w:hAnsi="inherit" w:cs="Tahoma"/>
          <w:i/>
          <w:iCs/>
          <w:color w:val="58595B"/>
          <w:sz w:val="17"/>
          <w:szCs w:val="17"/>
          <w:bdr w:val="none" w:sz="0" w:space="0" w:color="auto" w:frame="1"/>
          <w:lang w:eastAsia="pt-BR"/>
        </w:rPr>
        <w:br/>
        <w:t>Critérios de avaliação para ambientes externos</w:t>
      </w:r>
    </w:p>
    <w:tbl>
      <w:tblPr>
        <w:tblW w:w="5000" w:type="pct"/>
        <w:tblInd w:w="300" w:type="dxa"/>
        <w:tblCellMar>
          <w:left w:w="0" w:type="dxa"/>
          <w:right w:w="0" w:type="dxa"/>
        </w:tblCellMar>
        <w:tblLook w:val="04A0" w:firstRow="1" w:lastRow="0" w:firstColumn="1" w:lastColumn="0" w:noHBand="0" w:noVBand="1"/>
      </w:tblPr>
      <w:tblGrid>
        <w:gridCol w:w="6613"/>
        <w:gridCol w:w="945"/>
        <w:gridCol w:w="946"/>
      </w:tblGrid>
      <w:tr w:rsidR="00E60BEA" w:rsidRPr="00E60BEA" w:rsidTr="00E60BEA">
        <w:tc>
          <w:tcPr>
            <w:tcW w:w="3850" w:type="pct"/>
            <w:tcBorders>
              <w:top w:val="nil"/>
              <w:left w:val="nil"/>
              <w:bottom w:val="nil"/>
              <w:right w:val="nil"/>
            </w:tcBorders>
            <w:shd w:val="clear" w:color="auto" w:fill="auto"/>
            <w:vAlign w:val="bottom"/>
            <w:hideMark/>
          </w:tcPr>
          <w:p w:rsidR="00E60BEA" w:rsidRPr="00E60BEA" w:rsidRDefault="00E60BEA" w:rsidP="00E60BEA">
            <w:pPr>
              <w:spacing w:after="0" w:line="240" w:lineRule="auto"/>
              <w:rPr>
                <w:rFonts w:ascii="Tahoma" w:eastAsia="Times New Roman" w:hAnsi="Tahoma" w:cs="Tahoma"/>
                <w:sz w:val="17"/>
                <w:szCs w:val="17"/>
                <w:lang w:eastAsia="pt-BR"/>
              </w:rPr>
            </w:pPr>
            <w:r w:rsidRPr="00E60BEA">
              <w:rPr>
                <w:rFonts w:ascii="Tahoma" w:eastAsia="Times New Roman" w:hAnsi="Tahoma" w:cs="Tahoma"/>
                <w:sz w:val="17"/>
                <w:szCs w:val="17"/>
                <w:lang w:eastAsia="pt-BR"/>
              </w:rPr>
              <w:br/>
              <w:t>Tipo de área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jc w:val="center"/>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Diurno</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jc w:val="center"/>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Noturno</w:t>
            </w:r>
          </w:p>
        </w:tc>
      </w:tr>
      <w:tr w:rsidR="00E60BEA" w:rsidRPr="00E60BEA" w:rsidTr="00E60BEA">
        <w:tc>
          <w:tcPr>
            <w:tcW w:w="38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de sítios e fazendas</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40 dB(A)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35 dB(A)</w:t>
            </w:r>
          </w:p>
        </w:tc>
      </w:tr>
      <w:tr w:rsidR="00E60BEA" w:rsidRPr="00E60BEA" w:rsidTr="00E60BEA">
        <w:tc>
          <w:tcPr>
            <w:tcW w:w="38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estritamente residencial urbana ou de hospitais, escolas e bibliotecas</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50 dB(A)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45 dB(A)</w:t>
            </w:r>
          </w:p>
        </w:tc>
      </w:tr>
      <w:tr w:rsidR="00E60BEA" w:rsidRPr="00E60BEA" w:rsidTr="00E60BEA">
        <w:tc>
          <w:tcPr>
            <w:tcW w:w="38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mista, predominantemente residencial e de hotéis</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55 dB(A)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50 dB(A)</w:t>
            </w:r>
          </w:p>
        </w:tc>
      </w:tr>
      <w:tr w:rsidR="00E60BEA" w:rsidRPr="00E60BEA" w:rsidTr="00E60BEA">
        <w:tc>
          <w:tcPr>
            <w:tcW w:w="38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mista com vocação comercial, administrativa ou institucional</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60 dB(A)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55 dB(A)</w:t>
            </w:r>
          </w:p>
        </w:tc>
      </w:tr>
      <w:tr w:rsidR="00E60BEA" w:rsidRPr="00E60BEA" w:rsidTr="00E60BEA">
        <w:tc>
          <w:tcPr>
            <w:tcW w:w="38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mista com vocação recreativa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65 dB(A)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55 dB(A)</w:t>
            </w:r>
          </w:p>
        </w:tc>
      </w:tr>
      <w:tr w:rsidR="00E60BEA" w:rsidRPr="00E60BEA" w:rsidTr="00E60BEA">
        <w:tc>
          <w:tcPr>
            <w:tcW w:w="38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predominantemente industrial</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70 dB(A)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60 dB(A)</w:t>
            </w:r>
          </w:p>
        </w:tc>
      </w:tr>
    </w:tbl>
    <w:p w:rsidR="00E60BEA" w:rsidRPr="00E60BEA" w:rsidRDefault="00E60BEA" w:rsidP="00E60BEA">
      <w:pPr>
        <w:shd w:val="clear" w:color="auto" w:fill="FFFFFF"/>
        <w:spacing w:after="225" w:line="210" w:lineRule="atLeast"/>
        <w:ind w:left="300"/>
        <w:jc w:val="center"/>
        <w:textAlignment w:val="baseline"/>
        <w:rPr>
          <w:rFonts w:ascii="inherit" w:eastAsia="Times New Roman" w:hAnsi="inherit" w:cs="Tahoma"/>
          <w:sz w:val="17"/>
          <w:szCs w:val="17"/>
          <w:lang w:eastAsia="pt-BR"/>
        </w:rPr>
      </w:pPr>
      <w:r w:rsidRPr="00E60BEA">
        <w:rPr>
          <w:rFonts w:ascii="inherit" w:eastAsia="Times New Roman" w:hAnsi="inherit" w:cs="Tahoma"/>
          <w:b/>
          <w:bCs/>
          <w:i/>
          <w:iCs/>
          <w:color w:val="58595B"/>
          <w:sz w:val="17"/>
          <w:szCs w:val="17"/>
          <w:bdr w:val="none" w:sz="0" w:space="0" w:color="auto" w:frame="1"/>
          <w:lang w:eastAsia="pt-BR"/>
        </w:rPr>
        <w:t>ANEXO II</w:t>
      </w:r>
      <w:r w:rsidRPr="00E60BEA">
        <w:rPr>
          <w:rFonts w:ascii="inherit" w:eastAsia="Times New Roman" w:hAnsi="inherit" w:cs="Tahoma"/>
          <w:i/>
          <w:iCs/>
          <w:color w:val="58595B"/>
          <w:sz w:val="17"/>
          <w:szCs w:val="17"/>
          <w:bdr w:val="none" w:sz="0" w:space="0" w:color="auto" w:frame="1"/>
          <w:lang w:eastAsia="pt-BR"/>
        </w:rPr>
        <w:br/>
        <w:t>Tabela II</w:t>
      </w:r>
      <w:r w:rsidRPr="00E60BEA">
        <w:rPr>
          <w:rFonts w:ascii="inherit" w:eastAsia="Times New Roman" w:hAnsi="inherit" w:cs="Tahoma"/>
          <w:i/>
          <w:iCs/>
          <w:color w:val="58595B"/>
          <w:sz w:val="17"/>
          <w:szCs w:val="17"/>
          <w:bdr w:val="none" w:sz="0" w:space="0" w:color="auto" w:frame="1"/>
          <w:lang w:eastAsia="pt-BR"/>
        </w:rPr>
        <w:br/>
        <w:t>Critérios de avaliação para ambientes internos</w:t>
      </w:r>
    </w:p>
    <w:tbl>
      <w:tblPr>
        <w:tblW w:w="5000" w:type="pct"/>
        <w:tblInd w:w="300" w:type="dxa"/>
        <w:tblCellMar>
          <w:left w:w="0" w:type="dxa"/>
          <w:right w:w="0" w:type="dxa"/>
        </w:tblCellMar>
        <w:tblLook w:val="04A0" w:firstRow="1" w:lastRow="0" w:firstColumn="1" w:lastColumn="0" w:noHBand="0" w:noVBand="1"/>
      </w:tblPr>
      <w:tblGrid>
        <w:gridCol w:w="6509"/>
        <w:gridCol w:w="954"/>
        <w:gridCol w:w="1041"/>
      </w:tblGrid>
      <w:tr w:rsidR="00E60BEA" w:rsidRPr="00E60BEA" w:rsidTr="00E60BEA">
        <w:tc>
          <w:tcPr>
            <w:tcW w:w="3750" w:type="pct"/>
            <w:tcBorders>
              <w:top w:val="nil"/>
              <w:left w:val="nil"/>
              <w:bottom w:val="nil"/>
              <w:right w:val="nil"/>
            </w:tcBorders>
            <w:shd w:val="clear" w:color="auto" w:fill="auto"/>
            <w:vAlign w:val="bottom"/>
            <w:hideMark/>
          </w:tcPr>
          <w:p w:rsidR="00E60BEA" w:rsidRPr="00E60BEA" w:rsidRDefault="00E60BEA" w:rsidP="00E60BEA">
            <w:pPr>
              <w:spacing w:after="0" w:line="240" w:lineRule="auto"/>
              <w:rPr>
                <w:rFonts w:ascii="Tahoma" w:eastAsia="Times New Roman" w:hAnsi="Tahoma" w:cs="Tahoma"/>
                <w:sz w:val="17"/>
                <w:szCs w:val="17"/>
                <w:lang w:eastAsia="pt-BR"/>
              </w:rPr>
            </w:pPr>
            <w:r w:rsidRPr="00E60BEA">
              <w:rPr>
                <w:rFonts w:ascii="Tahoma" w:eastAsia="Times New Roman" w:hAnsi="Tahoma" w:cs="Tahoma"/>
                <w:sz w:val="17"/>
                <w:szCs w:val="17"/>
                <w:lang w:eastAsia="pt-BR"/>
              </w:rPr>
              <w:br/>
              <w:t>Tipo de área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jc w:val="center"/>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Diurno</w:t>
            </w:r>
          </w:p>
        </w:tc>
        <w:tc>
          <w:tcPr>
            <w:tcW w:w="60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jc w:val="center"/>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Noturno</w:t>
            </w:r>
          </w:p>
        </w:tc>
      </w:tr>
      <w:tr w:rsidR="00E60BEA" w:rsidRPr="00E60BEA" w:rsidTr="00E60BEA">
        <w:tc>
          <w:tcPr>
            <w:tcW w:w="37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lastRenderedPageBreak/>
              <w:t>Área de sítios e fazendas</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30 dB(A)</w:t>
            </w:r>
          </w:p>
        </w:tc>
        <w:tc>
          <w:tcPr>
            <w:tcW w:w="60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25 dB(A)</w:t>
            </w:r>
          </w:p>
        </w:tc>
      </w:tr>
      <w:tr w:rsidR="00E60BEA" w:rsidRPr="00E60BEA" w:rsidTr="00E60BEA">
        <w:tc>
          <w:tcPr>
            <w:tcW w:w="37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estritamente residencial urbana ou de hospitais, escolas e bibliotecas</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40 dB(A)</w:t>
            </w:r>
          </w:p>
        </w:tc>
        <w:tc>
          <w:tcPr>
            <w:tcW w:w="60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35 dB(A)</w:t>
            </w:r>
          </w:p>
        </w:tc>
      </w:tr>
      <w:tr w:rsidR="00E60BEA" w:rsidRPr="00E60BEA" w:rsidTr="00E60BEA">
        <w:tc>
          <w:tcPr>
            <w:tcW w:w="37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mista, predominantemente residencial e de hotéis</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45 dB(A)</w:t>
            </w:r>
          </w:p>
        </w:tc>
        <w:tc>
          <w:tcPr>
            <w:tcW w:w="60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40 dB(A)</w:t>
            </w:r>
          </w:p>
        </w:tc>
      </w:tr>
      <w:tr w:rsidR="00E60BEA" w:rsidRPr="00E60BEA" w:rsidTr="00E60BEA">
        <w:tc>
          <w:tcPr>
            <w:tcW w:w="37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mista com vocação comercial, administrativa ou institucional</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50 dB(A)</w:t>
            </w:r>
          </w:p>
        </w:tc>
        <w:tc>
          <w:tcPr>
            <w:tcW w:w="60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45 dB(A)</w:t>
            </w:r>
          </w:p>
        </w:tc>
      </w:tr>
      <w:tr w:rsidR="00E60BEA" w:rsidRPr="00E60BEA" w:rsidTr="00E60BEA">
        <w:tc>
          <w:tcPr>
            <w:tcW w:w="37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mista com vocação recreativa</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55 dB(A)</w:t>
            </w:r>
          </w:p>
        </w:tc>
        <w:tc>
          <w:tcPr>
            <w:tcW w:w="60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45 dB(A)</w:t>
            </w:r>
          </w:p>
        </w:tc>
      </w:tr>
      <w:tr w:rsidR="00E60BEA" w:rsidRPr="00E60BEA" w:rsidTr="00E60BEA">
        <w:tc>
          <w:tcPr>
            <w:tcW w:w="37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Área predominantemente industrial</w:t>
            </w:r>
          </w:p>
        </w:tc>
        <w:tc>
          <w:tcPr>
            <w:tcW w:w="55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60 dB(A)</w:t>
            </w:r>
          </w:p>
        </w:tc>
        <w:tc>
          <w:tcPr>
            <w:tcW w:w="600" w:type="pct"/>
            <w:tcBorders>
              <w:top w:val="nil"/>
              <w:left w:val="nil"/>
              <w:bottom w:val="nil"/>
              <w:right w:val="nil"/>
            </w:tcBorders>
            <w:shd w:val="clear" w:color="auto" w:fill="auto"/>
            <w:vAlign w:val="bottom"/>
            <w:hideMark/>
          </w:tcPr>
          <w:p w:rsidR="00E60BEA" w:rsidRPr="00E60BEA" w:rsidRDefault="00E60BEA" w:rsidP="00E60BEA">
            <w:pPr>
              <w:spacing w:after="225" w:line="210" w:lineRule="atLeast"/>
              <w:textAlignment w:val="baseline"/>
              <w:rPr>
                <w:rFonts w:ascii="inherit" w:eastAsia="Times New Roman" w:hAnsi="inherit" w:cs="Tahoma"/>
                <w:sz w:val="17"/>
                <w:szCs w:val="17"/>
                <w:lang w:eastAsia="pt-BR"/>
              </w:rPr>
            </w:pPr>
            <w:r w:rsidRPr="00E60BEA">
              <w:rPr>
                <w:rFonts w:ascii="inherit" w:eastAsia="Times New Roman" w:hAnsi="inherit" w:cs="Tahoma"/>
                <w:sz w:val="17"/>
                <w:szCs w:val="17"/>
                <w:lang w:eastAsia="pt-BR"/>
              </w:rPr>
              <w:t>50 dB(A)</w:t>
            </w:r>
          </w:p>
        </w:tc>
      </w:tr>
    </w:tbl>
    <w:p w:rsidR="00E60BEA" w:rsidRPr="00E60BEA" w:rsidRDefault="00E60BEA" w:rsidP="00E60BEA">
      <w:pPr>
        <w:shd w:val="clear" w:color="auto" w:fill="FFFFFF"/>
        <w:spacing w:after="225" w:line="210" w:lineRule="atLeast"/>
        <w:ind w:left="300"/>
        <w:jc w:val="center"/>
        <w:textAlignment w:val="baseline"/>
        <w:rPr>
          <w:rFonts w:ascii="inherit" w:eastAsia="Times New Roman" w:hAnsi="inherit" w:cs="Tahoma"/>
          <w:sz w:val="17"/>
          <w:szCs w:val="17"/>
          <w:lang w:eastAsia="pt-BR"/>
        </w:rPr>
      </w:pPr>
      <w:r w:rsidRPr="00E60BEA">
        <w:rPr>
          <w:rFonts w:ascii="inherit" w:eastAsia="Times New Roman" w:hAnsi="inherit" w:cs="Tahoma"/>
          <w:b/>
          <w:bCs/>
          <w:i/>
          <w:iCs/>
          <w:color w:val="58595B"/>
          <w:sz w:val="17"/>
          <w:szCs w:val="17"/>
          <w:bdr w:val="none" w:sz="0" w:space="0" w:color="auto" w:frame="1"/>
          <w:lang w:eastAsia="pt-BR"/>
        </w:rPr>
        <w:t>ANEXO III</w:t>
      </w:r>
      <w:r w:rsidRPr="00E60BEA">
        <w:rPr>
          <w:rFonts w:ascii="inherit" w:eastAsia="Times New Roman" w:hAnsi="inherit" w:cs="Tahoma"/>
          <w:i/>
          <w:iCs/>
          <w:color w:val="58595B"/>
          <w:sz w:val="17"/>
          <w:szCs w:val="17"/>
          <w:bdr w:val="none" w:sz="0" w:space="0" w:color="auto" w:frame="1"/>
          <w:lang w:eastAsia="pt-BR"/>
        </w:rPr>
        <w:br/>
        <w:t>Tabela III</w:t>
      </w:r>
    </w:p>
    <w:tbl>
      <w:tblPr>
        <w:tblW w:w="5000" w:type="pct"/>
        <w:tblInd w:w="300" w:type="dxa"/>
        <w:tblCellMar>
          <w:left w:w="0" w:type="dxa"/>
          <w:right w:w="0" w:type="dxa"/>
        </w:tblCellMar>
        <w:tblLook w:val="04A0" w:firstRow="1" w:lastRow="0" w:firstColumn="1" w:lastColumn="0" w:noHBand="0" w:noVBand="1"/>
      </w:tblPr>
      <w:tblGrid>
        <w:gridCol w:w="8504"/>
      </w:tblGrid>
      <w:tr w:rsidR="00E60BEA" w:rsidRPr="00E60BEA" w:rsidTr="00E60BEA">
        <w:tc>
          <w:tcPr>
            <w:tcW w:w="5000" w:type="pct"/>
            <w:tcBorders>
              <w:top w:val="nil"/>
              <w:left w:val="nil"/>
              <w:bottom w:val="nil"/>
              <w:right w:val="nil"/>
            </w:tcBorders>
            <w:shd w:val="clear" w:color="auto" w:fill="auto"/>
            <w:vAlign w:val="bottom"/>
            <w:hideMark/>
          </w:tcPr>
          <w:p w:rsidR="00E60BEA" w:rsidRPr="00E60BEA" w:rsidRDefault="00E60BEA" w:rsidP="00E60BEA">
            <w:pPr>
              <w:spacing w:after="0" w:line="240" w:lineRule="auto"/>
              <w:rPr>
                <w:rFonts w:ascii="Tahoma" w:eastAsia="Times New Roman" w:hAnsi="Tahoma" w:cs="Tahoma"/>
                <w:sz w:val="17"/>
                <w:szCs w:val="17"/>
                <w:lang w:eastAsia="pt-BR"/>
              </w:rPr>
            </w:pPr>
            <w:r w:rsidRPr="00E60BEA">
              <w:rPr>
                <w:rFonts w:ascii="Tahoma" w:eastAsia="Times New Roman" w:hAnsi="Tahoma" w:cs="Tahoma"/>
                <w:sz w:val="17"/>
                <w:szCs w:val="17"/>
                <w:lang w:eastAsia="pt-BR"/>
              </w:rPr>
              <w:br/>
              <w:t>ATENÇÃO</w:t>
            </w:r>
            <w:r w:rsidRPr="00E60BEA">
              <w:rPr>
                <w:rFonts w:ascii="Tahoma" w:eastAsia="Times New Roman" w:hAnsi="Tahoma" w:cs="Tahoma"/>
                <w:sz w:val="17"/>
                <w:szCs w:val="17"/>
                <w:lang w:eastAsia="pt-BR"/>
              </w:rPr>
              <w:br/>
              <w:t>A poluição sonora a partir de 80dB (oitenta decibéis) pode provocar úlcera, irritação, excitação maníaco-depressiva, desequilíbrios psicológicos, estresse degenerativo e pode aumentar o risco de infarto, derrame cerebral, infecções, osteoporose, hipertensão arterial e perdas auditivas, entre outras enfermidades.</w:t>
            </w:r>
            <w:r w:rsidRPr="00E60BEA">
              <w:rPr>
                <w:rFonts w:ascii="Tahoma" w:eastAsia="Times New Roman" w:hAnsi="Tahoma" w:cs="Tahoma"/>
                <w:sz w:val="17"/>
                <w:szCs w:val="17"/>
                <w:lang w:eastAsia="pt-BR"/>
              </w:rPr>
              <w:br/>
              <w:t>Verifique os níveis de pressão sonora a que você está se expondo e reflita.</w:t>
            </w:r>
          </w:p>
        </w:tc>
      </w:tr>
    </w:tbl>
    <w:p w:rsidR="00E60BEA" w:rsidRPr="00E60BEA" w:rsidRDefault="00E60BEA" w:rsidP="00E60BEA">
      <w:pPr>
        <w:shd w:val="clear" w:color="auto" w:fill="FFFFFF"/>
        <w:spacing w:after="225" w:line="210" w:lineRule="atLeast"/>
        <w:ind w:left="300"/>
        <w:jc w:val="center"/>
        <w:textAlignment w:val="baseline"/>
        <w:rPr>
          <w:rFonts w:ascii="inherit" w:eastAsia="Times New Roman" w:hAnsi="inherit" w:cs="Tahoma"/>
          <w:sz w:val="17"/>
          <w:szCs w:val="17"/>
          <w:lang w:eastAsia="pt-BR"/>
        </w:rPr>
      </w:pPr>
      <w:r w:rsidRPr="00E60BEA">
        <w:rPr>
          <w:rFonts w:ascii="inherit" w:eastAsia="Times New Roman" w:hAnsi="inherit" w:cs="Tahoma"/>
          <w:i/>
          <w:iCs/>
          <w:color w:val="58595B"/>
          <w:sz w:val="17"/>
          <w:szCs w:val="17"/>
          <w:bdr w:val="none" w:sz="0" w:space="0" w:color="auto" w:frame="1"/>
          <w:lang w:eastAsia="pt-BR"/>
        </w:rPr>
        <w:t> </w:t>
      </w:r>
    </w:p>
    <w:p w:rsidR="00F30025" w:rsidRDefault="00F30025"/>
    <w:sectPr w:rsidR="00F300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EA"/>
    <w:rsid w:val="00E60BEA"/>
    <w:rsid w:val="00F30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9BB4E-FDF7-44C3-8B08-6D20663A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E60BE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E60BEA"/>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60B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0BEA"/>
    <w:rPr>
      <w:b/>
      <w:bCs/>
    </w:rPr>
  </w:style>
  <w:style w:type="paragraph" w:customStyle="1" w:styleId="style13">
    <w:name w:val="style13"/>
    <w:basedOn w:val="Normal"/>
    <w:rsid w:val="00E60BE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787">
      <w:bodyDiv w:val="1"/>
      <w:marLeft w:val="0"/>
      <w:marRight w:val="0"/>
      <w:marTop w:val="0"/>
      <w:marBottom w:val="0"/>
      <w:divBdr>
        <w:top w:val="none" w:sz="0" w:space="0" w:color="auto"/>
        <w:left w:val="none" w:sz="0" w:space="0" w:color="auto"/>
        <w:bottom w:val="none" w:sz="0" w:space="0" w:color="auto"/>
        <w:right w:val="none" w:sz="0" w:space="0" w:color="auto"/>
      </w:divBdr>
      <w:divsChild>
        <w:div w:id="766850746">
          <w:marLeft w:val="0"/>
          <w:marRight w:val="0"/>
          <w:marTop w:val="0"/>
          <w:marBottom w:val="0"/>
          <w:divBdr>
            <w:top w:val="none" w:sz="0" w:space="0" w:color="auto"/>
            <w:left w:val="none" w:sz="0" w:space="0" w:color="auto"/>
            <w:bottom w:val="none" w:sz="0" w:space="0" w:color="auto"/>
            <w:right w:val="none" w:sz="0" w:space="0" w:color="auto"/>
          </w:divBdr>
        </w:div>
      </w:divsChild>
    </w:div>
    <w:div w:id="2094541846">
      <w:bodyDiv w:val="1"/>
      <w:marLeft w:val="0"/>
      <w:marRight w:val="0"/>
      <w:marTop w:val="0"/>
      <w:marBottom w:val="0"/>
      <w:divBdr>
        <w:top w:val="none" w:sz="0" w:space="0" w:color="auto"/>
        <w:left w:val="none" w:sz="0" w:space="0" w:color="auto"/>
        <w:bottom w:val="none" w:sz="0" w:space="0" w:color="auto"/>
        <w:right w:val="none" w:sz="0" w:space="0" w:color="auto"/>
      </w:divBdr>
      <w:divsChild>
        <w:div w:id="185056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2986</Words>
  <Characters>16130</Characters>
  <Application>Microsoft Office Word</Application>
  <DocSecurity>0</DocSecurity>
  <Lines>134</Lines>
  <Paragraphs>38</Paragraphs>
  <ScaleCrop>false</ScaleCrop>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2015-09-04T18:09:00Z</dcterms:created>
  <dcterms:modified xsi:type="dcterms:W3CDTF">2015-09-04T18:10:00Z</dcterms:modified>
</cp:coreProperties>
</file>