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E7" w:rsidRPr="002052E7" w:rsidRDefault="002052E7" w:rsidP="002052E7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Times New Roman"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2052E7">
        <w:rPr>
          <w:rFonts w:ascii="Arial Black" w:eastAsia="Times New Roman" w:hAnsi="Arial Black" w:cs="Times New Roman"/>
          <w:bCs/>
          <w:caps/>
          <w:color w:val="58595B"/>
          <w:sz w:val="21"/>
          <w:szCs w:val="21"/>
          <w:lang w:eastAsia="pt-BR"/>
        </w:rPr>
        <w:t>LEI 2.105/1998 CÓDIGO DE EDIFICAÇÕES DO DISTRITO FEDERAL</w:t>
      </w:r>
    </w:p>
    <w:bookmarkEnd w:id="0"/>
    <w:p w:rsidR="002052E7" w:rsidRPr="002052E7" w:rsidRDefault="002052E7" w:rsidP="0020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52E7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  <w:r w:rsidRPr="002052E7">
        <w:rPr>
          <w:rFonts w:ascii="Arial" w:eastAsia="Times New Roman" w:hAnsi="Arial" w:cs="Arial"/>
          <w:i/>
          <w:iCs/>
          <w:color w:val="58595B"/>
          <w:sz w:val="18"/>
          <w:szCs w:val="18"/>
          <w:bdr w:val="none" w:sz="0" w:space="0" w:color="auto" w:frame="1"/>
          <w:shd w:val="clear" w:color="auto" w:fill="FFFFFF"/>
          <w:lang w:eastAsia="pt-BR"/>
        </w:rPr>
        <w:t>28/04/2011</w:t>
      </w:r>
      <w:r w:rsidRPr="002052E7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LEI Nº 2.105, DE 8 DE OUTUBRO DE 1998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ind w:left="3969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Dispõe sobre o Código de Edificações do Distrito Federal.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GOVERNADOR DO DISTRITO FEDERAL,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Faço saber que a Câmara Legislativa do Distrito Federal decreta e eu sanciono a seguinte Lei: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TÍTULO 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DAS DISPOSIÇÕES PRELIMINARES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CAPÍTULO 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 OBJETO DO CÓDIGO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Código de Edificações do Distrito Federal disciplina toda e qualquer obra de construção, modificação ou demolição de edificações na área do Distrito Federal, bem como o licenciamento das obras de engenharia e arquitetura.</w:t>
      </w:r>
    </w:p>
    <w:p w:rsidR="002052E7" w:rsidRPr="002052E7" w:rsidRDefault="002052E7" w:rsidP="002052E7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Código de Edificações do Distrito Federal objetiva estabelecer padrões de qualidade dos espaços edificados que satisfaçam as condições mínimas de segurança, conforto, higiene, saúde e acessibilidade aos usuários e demais cidadãos, por meio da determinação de procedimentos administrativos e parâmetros técnicos que serão observados pela administração pública e pelos demais interessados e envolvidos no projeto, na execução de obras e na utilização das edificações. (Caputcom a redação da Lei nº 3.919, de 19/12/2006.)</w:t>
      </w:r>
      <w:bookmarkStart w:id="1" w:name="_ftnref1"/>
      <w:bookmarkEnd w:id="1"/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único.Os padrões de qualidade de que trata este artigo serão majorados em benefício do consumidor e do usuário das edificações, sempre que possível.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CAPÍTULO II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DA CONCEITUAÇÃO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Para os fins desta Lei, ficam estabelecidos os seguintes conceitos: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abrigo de veículos: cobertura destinada à proteção de veículos, sem vedação lateral em pelo menos cinqüenta por cento de seu perímetro;</w:t>
      </w:r>
    </w:p>
    <w:p w:rsidR="002052E7" w:rsidRPr="002052E7" w:rsidRDefault="002052E7" w:rsidP="002052E7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acessibilidade – conjunto de alternativas de acesso que possibilitem a utilização, com segurança e autonomia, das edificações; dos espaços, equipamentos e mobiliários urbanos; dos transportes; e dos sistemas e meios de comunicação por pessoas portadoras de deficiência ou com mobilidade reduzida; (Inciso com a redação da Lei nº 3.919, de 19/12/2006.) </w:t>
      </w:r>
      <w:bookmarkStart w:id="2" w:name="_ftnref2"/>
      <w:bookmarkEnd w:id="2"/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advertência: comunicação de irregularidades verificadas em obra ou edificação, em que se estabelece prazo para a devida correção;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aeração verticalmente cruzada: ventilação decorrente de aberturas opostas, situadas nas bases superior e inferior de prisma;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 – altura máxima da edificação: medida em metros entre o ponto definido como cota de soleira e o ponto mais alto da edificação;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 – ambiente: espaço arquitetônico relacionado a uma ou mais funções;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 – anotação de responsabilidade técnica – ART: fichário registrado em Conselho Regional de Engenharia, Arquitetura e Agronomia – CREA, que contém a descrição sucinta das atividades profissionais de engenharia, arquitetura e agronomia referentes a obras, projetos ou serviços;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VIII – apartamento conjugado: unidade domiciliar, em habitação coletiva ou habitação coletiva econômica, constituída de compartimento para higiene pessoal e de locais para estar, descanso, preparação de alimentos e serviços de lavagem, em ambiente único ou parcialmente compartimentado;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IX – apreensão: apropriação, pelo Poder Público, de materiais e equipamentos provenientes de obra ou serviço irregular ou que constitua prova material de irregularidade;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 – aprovação de projeto: ato administrativo que atesta o atendimento ao estabelecido nesta Lei, na sua regulamentação e na legislação de uso e ocupação do solo, após exame completo do projeto arquitetônico, para posterior licenciamento e obtenção de certificados de conclusão;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 – área de consumação: local em estabelecimento de uso comercial onde ficam dispostas mesas para consumo de alimentos e bebidas por clientes;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XII – área pública: área destinada a sistemas de circulação de veículos e pedestres, a espaços livres de uso público e à implantação de equipamentos urbanos e comunitários;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XIII – autenticação: ato administrativo que reconhece como verdadeiras e idênticas as cópias de projeto arquitetônico anteriormente aprovado ou visado, mediante exame comparativo com a cópia arquivada;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XIV – auto de infração: ato administrativo que dá ciência ao infrator da disposição legal infringida e da penalidade aplicada, no qual constam os elementos para tipificação dos fatos;</w:t>
      </w:r>
    </w:p>
    <w:p w:rsidR="002052E7" w:rsidRPr="002052E7" w:rsidRDefault="002052E7" w:rsidP="002052E7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 – barreiras arquitetônicas: elementos arquitetônicos que prejudicam ou impossibilitam o livre trânsito de pessoas portadoras de deficiência ou com mobilidade reduzida; </w:t>
      </w:r>
      <w:bookmarkStart w:id="3" w:name="_ftnref3"/>
      <w:bookmarkEnd w:id="3"/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XVI – brise: elemento construtivo, móvel ou fixo, instalado em fachadas para proteção solar;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XVII – canteiro de obras: área destinada a instalações temporárias e a serviços necessários à execução e ao desenvolvimento de obras;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XVIII – certificados de conclusão: os documentos oficiais abaixo relacionados que atestam a conclusão de obras: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a) carta de habite-se: documento expedido nos casos de obra inicial e obra de modificação com acréscimo ou decréscimo de área, executadas de acordo com os projetos aprovados ou visados, que pode ser parcial ou em separado;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b) atestado de conclusão: documento expedido nos demais casos não abrangidos pela carta de habite-se, mas cuja obra tenha sido objeto de licenciamento;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XIX – coeficiente de aproveitamento: índice previsto na legislação de uso e ocupação do solo que determina a área máxima de construção de uma edificação;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 – compensação de área: permuta entre avanços e reentrâncias no perímetro externo de edificações, acima do pavimento térreo, mantida a equivalência de área do pavimento;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XXI – comunicado de exigência: comunicação ao interessado, na qual estão relacionadas as falhas em relação à legislação vigente, detectadas por ocasião do exame da solicitação apresentada;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XXII – consulta prévia: análise técnica preliminar do projeto arquitetônico solicitada anteriormente à aprovação do projeto ou ao visto;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XXIII – cota de coroamento: indicação ou registro numérico, fornecido pela Administração Regional, correspondente à altura máxima da edificação;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XXIV – demolição: derrubada parcial ou total de construção;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XXV – edificação de caráter especial: edificação que incorpora facilidades para uso de tecnologias avançadas referentes a informações, materiais, energia, fluidos e técnicas construtivas;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XXVI – edificação temporária: construção transitória não residencial licenciada por tempo determinado que utiliza materiais construtivos adequados à finalidade proposta, os quais não caracterizam materiais definitivos e são de fácil remoção como estandes de vendas, parques de exposições, parques de diversões, circos e eventos;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XXVII – elementos construtivos: componentes físicos que integram a edificação;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XXVIII – embargo: ato administrativo de interrupção na execução de obra em desacordo com a legislação vigente, que pode se dar de forma parcial ou total;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XXIX – galeria: espaço, provido ou não de guarda-corpo, destinado à circulação de pedestres, situado na parte externa de uma edificação, sob o pavimento superior;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 – guarda-corpo: estrutura de proteção vertical, maciça ou não, que serve de anteparo contra queda em escadas, varandas, balcões, rampas, terraços, sacadas e galerias;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XXXI – habitação coletiva: duas ou mais unidades domiciliares na mesma edificação, com acesso e instalações comuns a todas as unidades;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XXXII – habitação coletiva econômica: duas ou mais unidades domiciliares econômicas na mesma edificação, com acesso e instalações comuns a todas as unidades;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XXXIII – habitação unifamiliar econômica: unidade domiciliar econômica em edificação destinada a uma única habitação;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XXXIV – habitação unifamiliar: unidade domiciliar em edificação destinada a uma única habitação;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XXXV – habitações em lote compartilhado: mais de uma habitação unifamiliar por unidade imobiliária, conforme definido na legislação de uso e ocupação do solo;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XXXVI – índice técnico: índice referente às características técnicas dos materiais e elementos construtivos, quanto à resistência ao fogo, isolamento térmico e acústico, condicionamento acústico, resistência física e impermeabilidade, entre outros aspectos;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XXXVII – instalação comercial: projeto de decoração do estabelecimento comercial no qual são indicados o mobiliário e os equipamentos, sem alteração do projeto arquitetônico;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XXXVIII – interdição: determinação administrativa de impedimento de acesso a obra ou a edificação que apresente descumprimento de embargo ou situação de risco iminente, que pode se dar de forma parcial ou total;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XXXIX – lâmina vertical: elevação vertical de edifício localizado sobre volume de construção predominantemente horizontal;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 – legislação de uso e ocupação do solo: conjunto de normas urbanísticas contidas no Plano Diretor de Ordenamento Territorial do Distrito Federal – PDOT e Planos Diretores Locais – PDL, em legislação específica e em normas regulamentadoras;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XLI – licenciamento: expedição de documentos oficiais abaixo relacionados que autorizam a execução de obras ou serviços: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a) alvará de construção: documento expedido que autoriza a execução de obras iniciais, obras de modificação com acréscimo ou decréscimo de área e obras sem acréscimo de área com alteração estrutural, condicionado à existência de projeto aprovado ou visado e sem exigências processuais;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b) licença: documento expedido nos demais casos não objeto de alvará de construção;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XLII – lote: unidade imobiliária que constitui parcela autônoma de um parcelamento, definida por limites geométricos e com pelo menos uma das divisas voltadas para a área pública;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XLIII – marquise: cobertura, em balanço ou não, na parte externa de uma edificação, destinada à proteção da fachada ou a abrigo de pedestres;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XLIV – memorial de incorporação: conjunto de documentos arquivados no competente cartório de registros de imóveis que possibilita negociar as unidades autônomas em edificações, em construção ou a construir, que se destinam à constituição de condomínios;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XLV – multa: pena pecuniária;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XLVI – normas técnicas brasileiras: normas estabelecidas pela Associação Brasileira de Normas Técnicas – ABNT;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XLVII – obras de arquitetura: conjunto de trabalhos de execução referentes a edificações, conjuntos arquitetônicos e monumentos, arquitetura paisagística e de interiores;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XLVIII – obras complementares: obras executadas como decorrência ou como parte das edificações;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XLIX – obras de engenharia: conjunto de trabalhos de execução referentes a construção de estradas, pistas de rolamento, aeroportos, portos, canais, barragens, diques, pontes e grandes estruturas e a sistemas de transportes, de abastecimento de água e saneamento, de drenagem e de irrigação;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 – obra em execução: toda e qualquer obra que não tenha sua conclusão atestada pelo respectivo certificado;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LI – parâmetros urbanísticos: índices referentes ao uso e à ocupação do solo;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LII – pé-direito: medida vertical de um andar de edifício do piso ao teto acabado ou do piso ao forro de compartimento ou ambiente;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LIII – pequena cobertura: cobertura única de até vinte metros quadrados, em edificação térrea, sem vedação lateral em pelo menos cinqüenta por cento do perímetro;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LIV – pérgula: elemento decorativo com função de abrigo, executado em jardins ou espaços livres, constituído de plano horizontal definido por elementos que formam espaços vazados;</w:t>
      </w:r>
    </w:p>
    <w:p w:rsidR="002052E7" w:rsidRPr="002052E7" w:rsidRDefault="002052E7" w:rsidP="002052E7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LV – pessoa com mobilidade reduzida – aquela que, não se enquadrando no conceito de pessoa portadora de deficiência, tenha, por qualquer motivo, temporário ou permanente, dificuldade de movimentação, tendo reduzida, efetivamente, a mobilidade, a flexibilidade, a coordenação motora e a percepção; enquadrando-se nesta situação pessoas idosas, crianças, gestantes, lactantes, pessoas obesas e pessoas com crianças de colo, entre outras; (Inciso com a redação da Lei nº 3.919, de 19/12/2006.) </w:t>
      </w:r>
      <w:bookmarkStart w:id="4" w:name="_ftnref4"/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fldChar w:fldCharType="begin"/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instrText xml:space="preserve"> HYPERLINK "http://sindicondominio.com.br/espaco-sindico/index.php/artigo/conteudo/551" \l "_ftn4" \o "" </w:instrTex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fldChar w:fldCharType="separate"/>
      </w:r>
      <w:r w:rsidRPr="002052E7">
        <w:rPr>
          <w:rFonts w:ascii="inherit" w:eastAsia="Times New Roman" w:hAnsi="inherit" w:cs="Arial"/>
          <w:color w:val="58595B"/>
          <w:sz w:val="18"/>
          <w:szCs w:val="18"/>
          <w:bdr w:val="none" w:sz="0" w:space="0" w:color="auto" w:frame="1"/>
          <w:lang w:eastAsia="pt-BR"/>
        </w:rPr>
        <w:t>[4]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fldChar w:fldCharType="end"/>
      </w:r>
      <w:bookmarkEnd w:id="4"/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LVI – pessoa portadora de deficiência – pessoa que possui deficiência física, auditiva, visual, mental ou múltipla, conforme definido em legislação específica; (Inciso acrescido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LVII – poço técnico: espaço utilizado para passagem de tubulações e instalações em uma edificação;(Inciso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LVIII – prisma de aeração e iluminação: espaço vertical livre situado no interior ou no perímetro de uma edificação, utilizado para aerar e iluminar os compartimentos ou ambientes para ele voltados;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LVIX – prisma de aeração: espaço vertical livre situado no interior ou no perímetro da edificação utilizado somente para aerar os compartimentos ou ambientes para ele voltados;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 – projeção: unidade imobiliária peculiar do Distrito Federal que constitui parcela autônoma de parcelamento, definida por limites geométricos e caracterizada por possuir, no mínimo, três de suas divisas voltadas para área pública e taxa de ocupação de cem por cento de sua área;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LXI – projeto de instalações prediais: conjunto de projetos de instalações elétricas, hidrossanitárias, telefônicas, de prevenção de incêndio e outras necessárias à edificação;(Inciso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LXII – responsável pela fiscalização: fiscal de obras e inspetor de obras da carreira de fiscalização e inspeção, obedecidas as atribuições definidas em legislação específica;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LXIII – sacada: o mesmo que varanda;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LXIV – taxa de construção máxima, mínima ou obrigatória: percentual previsto na legislação de uso e ocupação do solo que determina a área de construção de edificação;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LXV – taxa de ocupação máxima, mínima ou obrigatória: percentual previsto na legislação de uso e ocupação do solo que determina a superfície do lote ocupada pela projeção horizontal da edificação ao nível do solo;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LXVI – unidade domiciliar: conjunto de compartimentos ou ambientes interdependentes, de uso privativo em habitação unifamiliar ou coletiva, destinados a estar, repouso, preparo de alimentos, higiene pessoal e serviços de lavagem e limpeza;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LXVII – unidade domiciliar econômica: conjunto de compartimentos ou ambientes interdependentes, de uso privativo em habitação, destinados a estar, repouso, preparo de alimentos, higiene pessoal e serviços de lavagem e limpeza, caracterizados pelo baixo custo dos materiais e acabamentos aplicados, com área máxima de sessenta e oito metros quadrados; (Inciso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LXVIII – unidade domiciliar econômica do tipo célula – etapa inicial de unidade domiciliar econômica, inserida em programa governamental de interesse social, constituída, no mínimo, de dois compartimentos; (Inciso acrescido pela Lei nº 2.516, de 31/12/1999, e renumerado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LXIX – uso coletivo: utilização prevista para grupo determinado de pessoas; (Inciso renumerado pelas Leis nºs 2.516, de 31/12/1999, e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LXX – uso público: utilização prevista para o público em geral;(Inciso renumerado pelas Leis nºs 2.516, de 31/12/1999, e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LXXI – varanda: espaço sob cobertura situado no perímetro de uma edificação, que se comunica com seu interior, provido ou não de guarda-corpo;(Inciso renumerado pelas Leis nºs 2.516, de 31/12/1999, e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LXXII – visto de projeto: ato administrativo que atesta que o exame do projeto arquitetônico se limita à verificação dos parâmetros urbanísticos estabelecidos na legislação de uso e ocupação do solo quanto ao uso, taxa de ocupação, taxa de construção ou coeficiente de aproveitamento, afastamentos mínimos obrigatórios, número de pavimentos e altura máxima, entre outros, para posterior licenciamento e obtenção do certificado de conclusão. (Inciso renumerado pelas Leis nºs 2.516, de 31/12/1999, e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CAPÍTULO III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DOS DIREITOS E RESPONSABILIDADES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Seção 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 Profissional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considerados legalmente habilitados para projetar, construir, calcular, orientar e responsabilizar-se tecnicamente por edificações os profissionais que satisfaçam as exigências da legislação atinente ao exercício das profissões de engenheiro e de arquiteto.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Cabe aos autores de projetos de arquitetura e de engenharia toda a responsabilidade técnica e civil decorrente da elaboração dos respectivos projetos.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responsável técnico pela obra responde por sua fiel execução, de acordo com o projeto de arquitetura aprovado ou visado.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7º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Fica o responsável técnico da obra obrigado a nela manter cópia do alvará de construção ou licença e do projeto de arquitetura aprovado ou visado, em local de fácil acesso, para fiscalização.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8º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deveres do responsável técnico da obra: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comunicar ao órgão de coordenação do Sistema de Defesa Civil do Distrito Federal as ocorrências que comprometam a segurança dos operários e de terceiros, a estabilidade da edificação, a correta execução de componentes construtivos e as que apresentem situação de risco iminente ou impliquem dano ao patrimônio público e particular;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comunicar à Administração Regional qualquer paralisação da obra que ultrapasse trinta dias;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adotar medidas de segurança para resguardar a integridade das redes de infra-estrutura urbana e das propriedades públicas e privadas;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zelar, no âmbito de suas atribuições, pela observância das disposições desta Lei e da legislação de uso e ocupação do solo.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único.A comunicação ao órgão de coordenação do Sistema de Defesa Civil do Distrito Federal não exime o responsável técnico da obra de adotar providências para sanar as ocorrências definidas neste artigo.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9º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Fica facultada a substituição ou a transferência da responsabilidade técnica da obra, mediante a apresentação da anotação de responsabilidade técnica – ART do novo profissional, registrada no Conselho Regional de Engenharia, Arquitetura e Agronomia do Distrito Federal – CREA/DF.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único.As etapas da obra executadas, consignadas em diário de obra ou em relatório correspondente, permanecem sob a responsabilidade do profissional anterior, cabendo ao substituto a responsabilidade pelas demais etapas a executar.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lastRenderedPageBreak/>
        <w:t>Art. 10.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de responsabilidade dos profissionais envolvidos com a obra as informações técnicas fornecidas à Administração Regional.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Seção II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 Proprietário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11.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Para os fins desta Lei e observado o interesse público, terá os mesmos direitos e obrigações de proprietário todo aquele que, mediante contrato com a administração pública, ou por ela formalmente reconhecido, possuir de fato o exercício, pleno ou não, a justo título e de boa-fé, de alguns dos poderes inerentes ao domínio ou propriedade.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12.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deveres do proprietário do imóvel: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providenciar para que as obras só ocorram sob a responsabilidade de profissional habilitado e após licenciadas pela Administração Regional, respeitadas as determinações desta Lei;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oferecer apoio aos atos necessários às vistorias e fiscalização das obras e apresentar documentação de ordem técnica referente ao projeto, sempre que solicitado;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executar revestimento em todas as faces de paredes e muros situados nos limites de lotes voltados para áreas públicas e lotes vizinhos, com o padrão de acabamento similar ao dos demais muros e paredes de sua propriedade.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único.No caso das obras definidas no art. 33, fica o proprietário dispensado da apresentação de projeto e de licenciamento.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13.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proprietário, usuário ou síndico é responsável pela conservação do imóvel.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14.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É dever do proprietário, usuário ou síndico comunicar à coordenação do Sistema de Defesa Civil e à Administração Regional as ocorrências que apresentem situação de risco iminente, que comprometam a segurança e a saúde dos usuários e de terceiros ou impliquem dano ao patrimônio público ou particular, bem como adotar providências para saná-las.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15.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Ficam excluídos da responsabilidade do proprietário, usuário ou síndico os danos provocados por terceiros e as ocorrências resultantes de falha técnica do profissional habilitado por ocasião da execução da obra, dentro do prazo de vigência legal de sua responsabilidade técnica.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Seção III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Da Administração Regional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16.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Cabe à Administração Regional, por meio de suas unidades orgânicas competentes, aprovar ou visar projetos de arquitetura, licenciar e fiscalizar a execução de obras e a manutenção de edificações e expedir certificado de conclusão, garantida a observância das disposições desta Lei, de sua regulamentação e da legislação de uso e ocupação do solo, em sua circunscrição administrativa.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17.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No exercício da vigilância do território de sua circunscrição administrativa, tem o responsável pela fiscalização poder de polícia para vistoriar, fiscalizar, notificar, autuar, embargar, interditar e demolir obras de que trata este Código, e apreender materiais, equipamentos, documentos, ferramentas e quaisquer meios de produção utilizados em construções irregulares, ou que constituam prova material de irregularidade, obedecidos os trâmites estabelecidos nesta Lei.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18.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Cabe ao responsável pela fiscalização, no exercício da atividade fiscalizadora, sem prejuízo de outras atribuições específicas: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registrar as etapas vistoriadas no decorrer de obras e serviços licenciados;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verificar se a execução da obra está sendo desenvolvida de acordo com o projeto aprovado ou visado;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solicitar perícia técnica caso seja constatada, em obras de arquitetura e engenharia ou em edificações, situação de risco iminente ou necessidade de prevenção de sinistros;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requisitar à Administração Regional material e equipamento necessários ao perfeito exercício de suas funções;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 – requisitar apoio policial, quando necessário.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Parágrafo único.O responsável pela fiscalização, no exercício de suas funções, tem livre acesso a qualquer local em sua área de jurisdição, onde houver execução de obras de que trata esta Lei.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19.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responsável pela fiscalização pode exigir, para efeito de esclarecimento técnico, em qualquer etapa da execução da obra, a apresentação de projetos executivos de arquitetura, de engenharia e respectivos detalhes, bem como convocar o autor do projeto e o responsável técnico.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20.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É dever do responsável pela fiscalização acionar o órgão de coordenação do Sistema de Defesa Civil do Distrito Federal quando, no exercício de suas atribuições, tomar conhecimento da manifestação de fenômeno natural ou induzido que coloque em risco a vida e o patrimônio.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21.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É dever do titular da Administração Regional comunicar ao Conselho Regional de Engenharia, Arquitetura e Agronomia do Distrito Federal – CREA/DF o exercício profissional irregular ou ilegal verificado em sua área de jurisdição, com vistas à apuração de responsabilidade ética e disciplinar.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único.Os profissionais das unidades orgânicas da Administração Regional comunicarão ao titular as situações previstas neste artigo quando delas tomarem conhecimento.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CAPÍTULO IV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DOS PROCEDIMENTOS ADMINISTRATIVOS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Seção 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Dos Procedimentos Gerais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22.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As solicitações e os requerimentos encaminhados à Administração Regional, atinentes à matéria disciplinada por esta Lei, serão devidamente instruídos pelo interessado e analisados conforme a natureza do pedido, observadas as determinações desta Lei e da legislação de uso e ocupação do solo.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23.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Para cada projeção, lote ou fração em condomínio será constituído processo individual do qual constem os pedidos referentes ao imóvel, acompanhados da documentação pertinente.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único.Ficam dispensadas de constituir processo individual as unidades imobiliárias dos conjuntos habitacionais com fins sociais e projeto padronizado.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24.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As solicitações e os requerimentos encaminhados à Administração Regional, atinentes à matéria disciplinada por esta Lei, que apresentem divergências com relação à legislação vigente, serão objeto de comunicado de exigência ao interessado.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 comunicado de exigência será atendido no prazo máximo de trinta dias, contado a partir da data do ciente do interessado, sob pena de arquivamento.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Do comunicado de exigência constarão os dispositivos desta Lei não cumpridos em cada exigência formulada.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3º O pedido será indeferido caso persista a irregularidade após a emissão de três comunicados com a mesma exigência.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4º Na hipótese de ocorrer alteração na legislação durante o prazo previsto no § 1º, cabe ao proprietário o direito de optar pela legislação vigente por ocasião da expedição do comunicado de exigência.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25.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Administração Regional terá o prazo máximo de trinta dias, respeitado o detalhamento estabelecido em regulamentação, para atender as solicitações e requerimentos previstos no art. 22.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A contagem do prazo será retomada a partir da data do cumprimento das exigências objeto da comunicação.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Fica fixado o prazo máximo de atendimento de trinta dias, a ser observado pela Administração Regional nas hipóteses de solicitações e requerimentos não previstos em regulamentação.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26.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Pode o interessado solicitar reconsideração, no prazo máximo de trinta dias contado a partir da data da ciência do indeferimento da solicitação ou do requerimento atinente à matéria disciplinada por esta Lei.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único.A resposta da Administração Regional à solicitação de reconsideração do interessado será encaminhada no prazo máximo de trinta dias.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lastRenderedPageBreak/>
        <w:t>Art. 27.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Expirado o prazo de trinta dias para decisão ou pronunciamento da Administração Regional quanto à aprovação ou ao visto de projeto, pode o interessado requerer o alvará de construção, caso este não tenha sido requerido por ocasião da solicitação de aprovação de projeto, não implicando aprovação tácita.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No caso previsto neste artigo, o interessado aguardará novo prazo de trinta dias para decisão ou pronunciamento da Administração Regional.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O prazo total de sessenta dias será contado a partir da formalização da solicitação para aprovação ou para o visto de projeto.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28.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Expirado o prazo total de sessenta dias estabelecido no artigo anterior, sem que haja decisão ou pronunciamento da Administração Regional, o interessado disso dará ciência formal ao Secretário da Pasta pertinente, ao qual caberá: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determinar aos órgãos técnicos da Administração Regional a análise e aprovação ou o visto do projeto, a expedição do alvará de construção ou a apresentação do comunicado de exigências, ou o indeferimento;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providenciar a instauração de sindicância e inquérito, quando cabível, para apuração de responsabilidades do Administrador Regional e dos demais servidores envolvidos na omissão.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 prazo máximo para a adoção das providências relacionadas no inciso I é de sete dias contado a partir da comunicação formal, pelo interessado, ao Secretário da Pasta pertinente, sob pena de responsabilização dos agentes competentes, conforme legislação específica.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Caso seja apresentado comunicado de exigências, o prazo de sete dias será reiniciado a partir da data do cumprimento das exigências pelo interessado.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29.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verificação de alinhamento e, quando for o caso, de cota de soleira será solicitada pelo interessado à Administração Regional, após a conclusão das fundações da obra.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único.Realizada a verificação, fica facultado ao interessado requerer a certidão de alinhamento e de cota de soleira.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30.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Procedimentos administrativos especiais e prazos diferenciados podem ser disciplinados pelo Chefe do Poder Executivo nos seguintes casos: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habitações de interesse social;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projetos, serviços ou obras declarados de interesse público.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31.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projeto de arquitetura aprovado ou visado, o licenciamento e os certificados de conclusão podem ser, a qualquer tempo, mediante ato da autoridade concedente: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revogados, atendendo a relevante interesse público, com base na legislação vigente, ouvidos os órgãos técnicos competentes;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cassados, em caso de desvirtuamento da finalidade do documento concedido;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anulados, em caso de comprovação de ilegalidade ou irregularidade na documentação apresentada ou expedida.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Seção II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Da Aprovação de Projeto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32.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projeto de arquitetura referente à obra inicial ou modificação em área urbana ou rural, pública ou privada, será submetido a exame na Administração Regional para visto ou aprovação.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 projeto de arquitetura, visado ou aprovado, tem validade por quatro anos, contados a partir da data do visto ou da aprovação.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A solicitação de aprovação ou de visto de projeto pode ser requerida concomitantemente à do alvará de construção.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33.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dispensadas de apresentação de projeto e de licenciamento as seguintes obras localizadas dentro dos limites do lote: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I – pequena cobertura;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muro, exceto de arrimo;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guarita constituída por uma única edificação, com área máxima de construção de seis metros quadrados;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guarita constituída por duas edificações, interligadas ou não por cobertura, com área máxima de quatro metros quadrados por unidade;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 – abrigo para animais domésticos com área máxima de construção de seis metros quadrados;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 – instalação comercial constituída exclusivamente de equipamentos e decoração de interiores;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 – canteiro de obras que não ocupe área pública;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VIII – obra de urbanização no interior de lotes, respeitados parâmetros de uso e ocupação do solo;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IX – pintura e revestimentos internos e externos;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 – substituição de elementos decorativos e esquadrias;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 – grades de proteção em desníveis;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XII – substituição de telhas e elementos de suporte de cobertura;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XIII – reparos e substituição em instalações prediais.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As áreas das obras referidas nos incisos anteriores não são computadas nas taxas de ocupação, coeficiente de aproveitamento ou taxa de construção.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As obras referidas nos incisos X, XI, XII e XIII são aquelas que: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não alterem ou requeiram estrutura de concreto armado, de metal ou de madeira, treliças ou vigas;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não estejam localizadas em fachadas situadas em limites de lotes e projeções;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não acarretem acréscimo de área construída;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não prejudiquem a aeração e a iluminação e outros requisitos técnicos.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3º A dispensa de apresentação de projeto e de licenciamento não desobriga do cumprimento da legislação aplicável e das normas técnicas brasileiras.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34.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objeto de visto os seguintes projetos de arquitetura: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de habitações unifamiliares, inclusive aquelas situadas em lotes compartilhados;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em lotes unifamiliares em que são permitidos outros usos desde que concomitantes ao uso residencial, o qual ocupará área igual ou superior a cinqüenta por cento da edificação.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único.Será firmada pelo proprietário e pelo autor do projeto, em modelo padrão fornecido pela Administração Regional, declaração conjunta que assegure que as disposições referentes a dimensões, iluminação, ventilação, conforto, segurança e salubridade são de responsabilidade do autor do projeto e de conhecimento do proprietário.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35.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projetos de arquitetura de residências em áreas rurais e os relacionados a atividades com fins rurais são objeto de visto, observado o parâmetro referente ao uso das edificações e respeitada a legislação de uso e ocupação do solo.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Os projetos de arquitetura de atividades rurais obterão anuência prévia dos órgãos competentes.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Os projetos de arquitetura de atividades urbanas em áreas rurais serão submetidos à aprovação.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lastRenderedPageBreak/>
        <w:t>Art. 36.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objeto de visto da Administração Regional os projetos de arquitetura de edificações destinadas exclusivamente a atividades coletivas de saúde, educação, segurança e serviços sociais.</w:t>
      </w:r>
    </w:p>
    <w:p w:rsidR="002052E7" w:rsidRPr="002052E7" w:rsidRDefault="002052E7" w:rsidP="002052E7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No caso de projetos elaborados por particulares, o visto será concedido após a aprovação do projeto pela Secretaria de Estado competente, respeitada a legislação pertinente e observados os padrões de acessibilidade estabelecidos nesta Lei, em legislação específica e nas normas técnicas brasileiras. (Parágrafo com a redação da Lei nº 3.919, de 19/12/2006.</w:t>
      </w:r>
      <w:r w:rsidRPr="002052E7">
        <w:rPr>
          <w:rFonts w:ascii="inherit" w:eastAsia="Times New Roman" w:hAnsi="inherit" w:cs="Arial"/>
          <w:i/>
          <w:iCs/>
          <w:color w:val="58595B"/>
          <w:sz w:val="18"/>
          <w:szCs w:val="18"/>
          <w:u w:val="single"/>
          <w:bdr w:val="none" w:sz="0" w:space="0" w:color="auto" w:frame="1"/>
          <w:lang w:eastAsia="pt-BR"/>
        </w:rPr>
        <w:t>)</w:t>
      </w:r>
      <w:bookmarkStart w:id="5" w:name="_ftnref5"/>
      <w:bookmarkEnd w:id="5"/>
    </w:p>
    <w:p w:rsidR="002052E7" w:rsidRPr="002052E7" w:rsidRDefault="002052E7" w:rsidP="002052E7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No caso de projetos elaborados pelas Secretarias de Estado responsáveis pelas atividades de saúde, educação e segurança, essas assumem inteira responsabilidade pelo fiel cumprimento da legislação pertinente e pela observância dos padrões de acessibilidade estabelecidos nesta Lei, em legislação específica e nas normas técnicas brasileiras. (Parágrafo com a redação da Lei nº 3.919, de 19/12/2006.)</w:t>
      </w:r>
      <w:bookmarkStart w:id="6" w:name="_ftnref6"/>
      <w:bookmarkEnd w:id="6"/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37.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objeto de visto os projetos de arquitetura em lotes destinados a embaixadas.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38.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Fica facultado ao interessado requerer a aprovação de projeto arquitetônico que seja objeto de visto conforme define esta Lei.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39.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Serão submetidos à aprovação os demais projetos de arquitetura não passíveis de visto conforme define esta Lei.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40.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Todos os elementos que compõem os projetos de arquitetura e de engenharia serão assinados pelo proprietário e pelo profissional habilitado e acompanhados da anotação de responsabilidade técnica – ART relativa ao projeto, registrada em Conselho Regional de Engenharia, Arquitetura e Agronomia – CREA.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41.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aprovação ou visto do projeto de arquitetura pela Administração Regional não implica o reconhecimento da propriedade do imóvel, nem a regularidade da ocupação.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42.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Administração Regional, quando necessário, pode solicitar a apresentação de projetos complementares e demais esclarecimentos referentes ao projeto de arquitetura em exame.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43.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projeto de arquitetura apresentado em substituição a outro não invalida o projeto anteriormente aprovado ou visado até a expedição do alvará de construção, nem implica alteração nos respectivos prazos de validade.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44.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Fica facultada a formalização de consulta prévia de projeto arquitetônico à Administração Regional.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único.A resposta à consulta prévia oficial tem validade de noventa dias corridos, contados a partir da data de recebimento do respectivo laudo pelo interessado.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45.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projetos de fundação, de cálculo estrutural, de instalações prediais e outros complementares ao projeto arquitetônico, necessários à edificação, serão elaborados com base na legislação dos órgãos específicos e, caso inexistente, de acordo com as normas técnicas brasileiras.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Os projetos referidos neste artigo serão anexados ao processo administrativo da edificação no prazo máximo de cento e vinte dias, contado da data de expedição do alvará de construção, exceto o projeto de fundação, que será entregue para fins de expedição do alvará de construção.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Cabe à Administração Regional verificar a correspondência entre os projetos referidos neste artigo e o projeto arquitetônico.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46.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Cabe à Administração Regional indicar as áreas dos projetos arquitetônicos submetidos à aprovação ou visto, de acordo com os seguintes critérios: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a área total de construção será indicada no projeto arquitetônico e conterá apenas duas casas decimais, sem arredondamento ou aproximação;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a área construída de cada pavimento será calculada considerada a superfície coberta limitada pelo perímetro externo da edificação e excluídos: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a) os poços de elevadores;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b) os prismas de aeração e iluminação ou só de aeração;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c) os poços técnicos;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d) os beirais de cobertura, com largura máxima de um metro e cinqüenta centímetros;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e) as pérgulas, conforme definido na regulamentação desta Lei;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a área de pavimento em pilotis situado em lote será igual à área do pavimento imediatamente superior;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a área de pavimento em pilotis situado em projeção será igual à área da projeção registrada em cartório;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 – as áreas fora dos limites de lotes ou projeções, decorrentes de concessão de direito real de uso, serão discriminadas em parcelas específicas.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único.A área dos poços de elevadores será considerada, para efeito de cálculo de área de projeto arquitetônico, em apenas um dos pavimentos da edificação.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47.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Para fins de cálculo de taxa máxima de construção ou de coeficiente de aproveitamento permitidos para a edificação em legislação específica, serão desconsiderados as seguintes obras e elementos construtivos: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escadas, quando exclusivamente de emergência;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garagens em subsolos ou em outros pavimentos, exceto em edifícios-garagem;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varandas decorrentes de concessão de direito real de uso;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galerias;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 – marquises de construção obrigatória;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 – marquises de construção não obrigatória, exclusivamente quando em balanço;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 – guaritas, conforme definido art. 33, III e IV, e na regulamentação desta Lei;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VIII – compartimentos destinados a abrigar centrais de ar condicionado, subestações, grupos geradores, bombas, casas de máquinas e demais instalações técnicas da edificação que façam parte da área comum;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IX – piscinas descobertas;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 – quadras de esportes descobertas;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 – áreas de serviço descobertas;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XII – caixas-d'água elevadas ou enterradas, exceto castelos d'água;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XIII – molduras, elementos decorativos e jardineiras, com avanço máximo de quarenta centímetros além dos limites das fachadas;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XIV – brises, com largura máxima correspondente a um metro, desde que projetados exclusivamente para proteção solar;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 – subsolos destinados a depósito.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48.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Para fins de cálculo de taxa máxima de ocupação, definida para a edificação em legislação específica, serão desconsiderados as obras e os elementos construtivos situados à altura superior a doze metros em relação ao nível do solo e aqueles discriminados no art. 46, II.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49.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projetos arquitetônicos referentes a obras em áreas comuns de edificações coletivas e lotes em regime de condomínio só serão apreciados se acompanhados de documento que comprove a deliberação e a aprovação das partes interessadas e envolvidas.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50.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numeração predial dos lotes ou projeções será fornecida pela Administração Regional e obedecerá ao projeto urbanístico.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único.A numeração das unidades que compõem a edificação constará do projeto arquitetônico apresentado para aprovação ou para visto.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Seção III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lastRenderedPageBreak/>
        <w:t>Do Licenciamento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51.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As obras de que trata esta Lei, em área urbana ou rural, pública ou privada, só podem ser iniciadas após a obtenção de licenciamento na respectiva Administração Regional.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Obras iniciais, obras de modificação com acréscimo ou decréscimo de área e obras de modificação sem acréscimo de área, com alteração estrutural, são licenciadas mediante a expedição do alvará de construção.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Obras de modificação sem acréscimo de área e sem alteração estrutural são licenciadas automaticamente, por ocasião do visto ou da aprovação do projeto de modificação, dispensada a expedição de novo alvará de construção.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3º Edificações temporárias, demolições, obras e canteiros de obras que ocupem área pública são objeto de licença.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51-A.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licenciamento para início de obra só será emitido após a comprovação do cumprimento das condições de acessibilidade no projeto, conforme os padrões estabelecidos nesta Lei, em legislação específica e nas normas técnicas brasileiras.  (Artigo acrescido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52.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alvará de construção tem validade de oito anos, contados a partir da data de sua expedição, podendo ser renovado por igual período.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único.O alvará de construção tem validade imprescritível após a conclusão das fundações necessárias à edificação licenciada.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53.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licenciamento a que se refere o art. 51, § 2º, prescreve em oito anos, contados a partir da aprovação ou do visto do projeto, e pode ser renovado por igual período.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54.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licença a que se refere o art. 51, § 3º, prescreve em um ano a contar da data de sua expedição e pode ser renovada por igual período.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55.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alvará de construção em separado será concedido no caso de projetos aprovados ou visados, compostos de duas ou mais edificações no mesmo lote, desde que distintas, de funcionamento independente e estejam em condições de serem utilizadas isoladamente.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Seção IV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 Certificado de Conclusão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56.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Toda edificação, qualquer que seja sua destinação, após concluída, obterá o respectivo certificado de conclusão na Administração Regional, nos termos desta Lei.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57.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certificado de conclusão pode ser na forma de: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carta de habite-se, expedida para obras objeto de alvará de construção;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atestado de conclusão, expedido para os demais casos.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único.Para efeitos da obtenção da carta de habite-se, fica proibido exigir declaração de aceite emitida por empresa de telecomunicações. (Parágrafo acrescido pela Lei nº 4.115, de 7/4/2008.)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58.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carta de habite-se parcial é concedida para a etapa concluída da edificação em condições de utilização e funcionamento independentes, exceto nos casos de habitações coletivas.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59.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carta de habite-se em separado é concedida para cada uma das edificações de um conjunto arquitetônico, desde que constituam unidades autônomas, de funcionamento independente e estejam em condições de serem utilizadas separadamente.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60.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certificados de conclusão serão expedidos após a apresentação da documentação pertinente, da vistoria do imóvel e da verificação de inexistência de exigências.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60-A.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certificado de conclusão só será emitido após a comprovação do cumprimento das condições de acessibilidade, conforme os padrões estabelecidos nesta Lei, em legislação específica e nas normas técnicas brasileiras. (Artigo acrescido pela Lei nº 3.919, de 19/12/2006.)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61.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São aceitas divergências de até cinco por cento nas medidas lineares horizontais e verticais entre o projeto aprovado ou visado e a obra construída, desde que: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I – a área útil e o pé-direito do compartimento não sejam inferiores a cinco por cento da área constante do projeto aprovado ou visado;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a área da edificação constante do alvará de construção não seja alterada;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a edificação não extrapole os limites do lote ou da projeção;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a edificação não ultrapasse a altura máxima ou a cota de coroamento estabelecida.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TÍTULO II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DAS EDIFICAÇÕES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CAPÍTULO 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DOS BENS TOMBADOS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62.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As normas definidas neste Código são aplicáveis às edificações localizadas na área tombada, exceto naquilo que dispuser diferentemente a Portaria nº 314, de 8 de outubro de 1992, do Instituto Brasileiro do Patrimônio Cultural – IBPC.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63.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projetos de arquitetura das edificações localizadas dentro do perímetro de preservação delimitado pela Portaria nº 314/92 do IBPC serão aprovados e licenciados pelas respectivas Administrações Regionais.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único.Os projetos de arquitetura e de reforma dos edifícios e monumentos tombados isoladamente e dos localizados no Eixo Monumental, desde a Praça dos Três Poderes até a Praça do Buriti, serão analisados previamente pelos órgãos de proteção ao patrimônio histórico e artístico nacional e do Distrito Federal e pelo Conselho de Planejamento Territorial e Urbano do Distrito Federal – CONPLAN, antes da aprovação e licenciamento pela Administração Regional.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64.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perímetro do piloti de habitações coletivas em projeções localizadas na área a que se refere o art. 4º da Portaria nº 314/92 do IBPC não pode ser cercado, salvo nos trechos que apresentem situações de risco por quedas, onde será permitido o emprego de jardineiras ou elementos de proteção que apresentem permeabilidade ou transparência visual, com altura máxima de um metro e vinte centímetros.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CAPÍTULO II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DA EXECUÇÃO DAS OBRAS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Seção I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Do Canteiro de Obras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65.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Fica obrigatória a previsão de local para a instalação de canteiro de obras, para a execução de obras ou demolições.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66.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canteiro de obras, suas instalações e equipamentos, bem como os serviços preparatórios e complementares, respeitarão o direito de vizinhança e obedecerão ao disposto nesta Lei, nas normas técnicas brasileiras, na legislação das concessionárias de serviços públicos e na legislação sobre segurança.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único.A distribuição das instalações e equipamentos no canteiro de obras observará os preceitos de higiene, salubridade e funcionalidade.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67.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canteiro de obras pode ser instalado: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dentro dos limites do lote ou ocupando lotes vizinhos, mediante expressa autorização dos proprietários, dispensada a apresentação de projeto e licenciamento prévio, observada a legislação específica;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em área pública, mediante a aprovação do respectivo projeto no que diz respeito à interferência nas vias, nos espaços e nos equipamentos públicos.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único.A ocupação em área pública será autorizada pela Administração Regional, observados o interesse público e a legislação específica.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lastRenderedPageBreak/>
        <w:t>Art. 68.</w:t>
      </w: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autorização para canteiro de obras em área pública pode ser cancelada pela Administração Regional, mediante a devida justificativa, caso deixe de atender ao interesse público.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A área pública será desobstruída e recuperada pelo proprietário, no prazo máximo de trinta dias corridos, a contar da data da notificação para desocupação.</w:t>
      </w:r>
    </w:p>
    <w:p w:rsidR="002052E7" w:rsidRPr="002052E7" w:rsidRDefault="002052E7" w:rsidP="002052E7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2052E7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Expirado o prazo definido no parágrafo anterior sem que a notificação de desocupação de área pública tenha sido cumprida, caberá à Administração Regional providenciar a desobstrução e recuperaç</w:t>
      </w:r>
    </w:p>
    <w:p w:rsidR="000F71F1" w:rsidRDefault="000F71F1"/>
    <w:sectPr w:rsidR="000F7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E7"/>
    <w:rsid w:val="000F71F1"/>
    <w:rsid w:val="0020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51E0-9132-4F00-8DDB-E5444B40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052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052E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52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052E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0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7021</Words>
  <Characters>37917</Characters>
  <Application>Microsoft Office Word</Application>
  <DocSecurity>0</DocSecurity>
  <Lines>315</Lines>
  <Paragraphs>89</Paragraphs>
  <ScaleCrop>false</ScaleCrop>
  <Company/>
  <LinksUpToDate>false</LinksUpToDate>
  <CharactersWithSpaces>44849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2015-09-04T15:14:00Z</dcterms:created>
  <dcterms:modified xsi:type="dcterms:W3CDTF">2015-09-04T15:14:00Z</dcterms:modified>
</cp:coreProperties>
</file>