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01" w:rsidRPr="006C3101" w:rsidRDefault="006C3101" w:rsidP="006C3101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6C3101">
        <w:rPr>
          <w:rFonts w:ascii="Arial Black" w:eastAsia="Times New Roman" w:hAnsi="Arial Black" w:cs="Arial"/>
          <w:bCs/>
          <w:caps/>
          <w:color w:val="58595B"/>
          <w:sz w:val="21"/>
          <w:szCs w:val="21"/>
          <w:lang w:eastAsia="pt-BR"/>
        </w:rPr>
        <w:t>LEI Nº 4.631, DE 23 DE AGOSTO DE 2011</w:t>
      </w:r>
    </w:p>
    <w:bookmarkEnd w:id="0"/>
    <w:p w:rsidR="006C3101" w:rsidRPr="006C3101" w:rsidRDefault="006C3101" w:rsidP="006C3101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6C3101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05/09/2011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(Autoria do Projeto: Deputado Benedito Domingos)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ind w:left="6294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Dispõe sobre a instalação de redes de proteção ou equipamento similar nos novos edifícios verticais no âmbito do Distrito Federal.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ind w:left="3176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GOVERNADOR DO DISTRITO FEDERAL,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Faço saber que a Câmara Legisla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softHyphen/>
        <w:t>tiva do Distrito Federal decreta e eu sanciono a seguinte Lei: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1º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Ficam os empreendedores de novos edifícios verticais destinados a uso residencial obri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softHyphen/>
        <w:t>gados a instalar, nas varandas, sacadas e janelas de cada unidade autônoma, antes da entrega das chaves, redes de proteção ou equipamento similar certificados pelo INMETRO.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A obrigatoriedade de que trata o caput estende-se às varandas, sacadas e janelas das áreas comuns de circulação horizontal.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Caso o adquirente do imóvel não concorde com a instalação de redes ou equipamento similar em sua unidade autônoma, deverá manifestar-se por escrito junto à empreendedora quando da compra da unidade.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2º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Para o disposto nesta Lei, entende-se como empreendedor a pessoa física ou jurídica responsável direta ou indiretamente pela efetiva edificação da obra.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3º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fiscalização quanto ao cumprimento do disposto nesta Lei ficará a cargo dos órgãos do Poder Executivo responsáveis pela fiscalização de obras urbanas, do Corpo de Bombeiros Militar do Distrito Federal e do órgão de defesa do consumidor.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4º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empreendedores mencionados no art. 1º que descumprirem o disposto nesta Lei estarão sujeitos a multa no valor de R$2.000,00 (dois mil reais) por unidade autônoma ou área comum de circulação horizontal não contemplada.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Persistindo o descumprimento por período superior a 30 (trinta) dias após a autuação, a multa referida no caput será cobrada em dobro.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§ 2º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valores fixados neste artigo serão reajustados mensalmente pelo Índice Nacional de Preços ao Consumidor – INPC.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5º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Esta Lei entra em vigor na data de sua publicação.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Art. 6º</w:t>
      </w: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Revogam-se as disposições em contrário.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Brasília, 23 de agosto de 2011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123º da República e 52º de Brasília</w:t>
      </w:r>
    </w:p>
    <w:p w:rsidR="006C3101" w:rsidRPr="006C3101" w:rsidRDefault="006C3101" w:rsidP="006C3101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b/>
          <w:bCs/>
          <w:color w:val="58595B"/>
          <w:sz w:val="18"/>
          <w:szCs w:val="18"/>
          <w:lang w:eastAsia="pt-BR"/>
        </w:rPr>
        <w:t>AGNELO QUEIROZ</w:t>
      </w:r>
    </w:p>
    <w:p w:rsidR="006C3101" w:rsidRPr="006C3101" w:rsidRDefault="006C3101" w:rsidP="006C3101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6C3101">
        <w:rPr>
          <w:rFonts w:ascii="inherit" w:eastAsia="Times New Roman" w:hAnsi="inherit" w:cs="Arial"/>
          <w:i/>
          <w:iCs/>
          <w:color w:val="FF0000"/>
          <w:sz w:val="18"/>
          <w:szCs w:val="18"/>
          <w:bdr w:val="none" w:sz="0" w:space="0" w:color="auto" w:frame="1"/>
          <w:lang w:eastAsia="pt-BR"/>
        </w:rPr>
        <w:t>Este texto não substitui o publicado no Diário Oficial do Distrito Federal, de 26/8/2011.</w:t>
      </w:r>
    </w:p>
    <w:p w:rsidR="006C3101" w:rsidRPr="006C3101" w:rsidRDefault="006C3101" w:rsidP="006C3101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0F71F1" w:rsidRDefault="000F71F1"/>
    <w:sectPr w:rsidR="000F7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01"/>
    <w:rsid w:val="000F71F1"/>
    <w:rsid w:val="006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2357-C854-4608-A138-4BBC79B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C31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C310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3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665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06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2015-09-04T15:13:00Z</dcterms:created>
  <dcterms:modified xsi:type="dcterms:W3CDTF">2015-09-04T15:13:00Z</dcterms:modified>
</cp:coreProperties>
</file>